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E984F" w14:textId="7754D635" w:rsidR="00BE1C87" w:rsidRPr="00450848" w:rsidRDefault="000B61BB">
      <w:pPr>
        <w:rPr>
          <w:rFonts w:ascii="Century Gothic" w:hAnsi="Century Gothic"/>
          <w:sz w:val="22"/>
          <w:szCs w:val="22"/>
        </w:rPr>
      </w:pPr>
      <w:bookmarkStart w:id="0" w:name="_GoBack"/>
      <w:bookmarkEnd w:id="0"/>
      <w:r w:rsidRPr="00450848">
        <w:rPr>
          <w:rFonts w:ascii="Century Gothic" w:hAnsi="Century Gothic"/>
          <w:noProof/>
          <w:sz w:val="22"/>
          <w:szCs w:val="22"/>
        </w:rPr>
        <w:drawing>
          <wp:anchor distT="0" distB="0" distL="114300" distR="114300" simplePos="0" relativeHeight="251659264" behindDoc="1" locked="0" layoutInCell="1" allowOverlap="1" wp14:anchorId="0CAAB228" wp14:editId="0F8CD957">
            <wp:simplePos x="0" y="0"/>
            <wp:positionH relativeFrom="column">
              <wp:posOffset>-800100</wp:posOffset>
            </wp:positionH>
            <wp:positionV relativeFrom="paragraph">
              <wp:posOffset>-914400</wp:posOffset>
            </wp:positionV>
            <wp:extent cx="7239000" cy="13296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0"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60442" w14:textId="77777777" w:rsidR="00015E8E" w:rsidRPr="00450848" w:rsidRDefault="00015E8E" w:rsidP="00015E8E">
      <w:pPr>
        <w:autoSpaceDE w:val="0"/>
        <w:autoSpaceDN w:val="0"/>
        <w:adjustRightInd w:val="0"/>
        <w:jc w:val="center"/>
        <w:rPr>
          <w:rFonts w:ascii="Century Gothic" w:hAnsi="Century Gothic" w:cs="Calibri"/>
          <w:b/>
          <w:sz w:val="22"/>
          <w:szCs w:val="22"/>
          <w:u w:val="single"/>
        </w:rPr>
      </w:pPr>
    </w:p>
    <w:p w14:paraId="297A9C6C" w14:textId="77777777" w:rsidR="000B61BB" w:rsidRPr="00450848" w:rsidRDefault="000B61BB" w:rsidP="00015E8E">
      <w:pPr>
        <w:autoSpaceDE w:val="0"/>
        <w:autoSpaceDN w:val="0"/>
        <w:adjustRightInd w:val="0"/>
        <w:jc w:val="center"/>
        <w:rPr>
          <w:rFonts w:ascii="Century Gothic" w:hAnsi="Century Gothic" w:cs="Calibri"/>
          <w:b/>
          <w:color w:val="66CCFF"/>
          <w:sz w:val="28"/>
          <w:szCs w:val="28"/>
          <w:u w:val="single"/>
        </w:rPr>
      </w:pPr>
    </w:p>
    <w:p w14:paraId="3150AE9B" w14:textId="77777777" w:rsidR="00EE3ABF" w:rsidRPr="00450848" w:rsidRDefault="00EE3ABF" w:rsidP="002F1FAE">
      <w:pPr>
        <w:autoSpaceDE w:val="0"/>
        <w:autoSpaceDN w:val="0"/>
        <w:adjustRightInd w:val="0"/>
        <w:rPr>
          <w:rFonts w:ascii="Century Gothic" w:hAnsi="Century Gothic" w:cs="Calibri"/>
          <w:b/>
          <w:color w:val="66CCFF"/>
          <w:sz w:val="28"/>
          <w:szCs w:val="28"/>
        </w:rPr>
      </w:pPr>
      <w:r w:rsidRPr="00450848">
        <w:rPr>
          <w:rFonts w:ascii="Century Gothic" w:hAnsi="Century Gothic" w:cs="Calibri"/>
          <w:b/>
          <w:color w:val="66CCFF"/>
          <w:sz w:val="28"/>
          <w:szCs w:val="28"/>
        </w:rPr>
        <w:t>STOKE-ON-TRENT AND STAFFORDSHIRE</w:t>
      </w:r>
    </w:p>
    <w:p w14:paraId="746E5807" w14:textId="067968D0" w:rsidR="00015E8E" w:rsidRPr="00450848" w:rsidRDefault="00015E8E" w:rsidP="002F1FAE">
      <w:pPr>
        <w:autoSpaceDE w:val="0"/>
        <w:autoSpaceDN w:val="0"/>
        <w:adjustRightInd w:val="0"/>
        <w:rPr>
          <w:rFonts w:ascii="Century Gothic" w:hAnsi="Century Gothic" w:cs="Calibri"/>
          <w:b/>
          <w:color w:val="66CCFF"/>
          <w:sz w:val="28"/>
          <w:szCs w:val="28"/>
        </w:rPr>
      </w:pPr>
      <w:r w:rsidRPr="00450848">
        <w:rPr>
          <w:rFonts w:ascii="Century Gothic" w:hAnsi="Century Gothic" w:cs="Calibri"/>
          <w:b/>
          <w:color w:val="66CCFF"/>
          <w:sz w:val="28"/>
          <w:szCs w:val="28"/>
        </w:rPr>
        <w:t xml:space="preserve">CHILD DEATH OVERVIEW PANEL (CDOP) </w:t>
      </w:r>
      <w:r w:rsidR="00544526" w:rsidRPr="00450848">
        <w:rPr>
          <w:rFonts w:ascii="Century Gothic" w:hAnsi="Century Gothic" w:cs="Calibri"/>
          <w:b/>
          <w:color w:val="66CCFF"/>
          <w:sz w:val="28"/>
          <w:szCs w:val="28"/>
        </w:rPr>
        <w:t xml:space="preserve">- </w:t>
      </w:r>
      <w:r w:rsidRPr="00450848">
        <w:rPr>
          <w:rFonts w:ascii="Century Gothic" w:hAnsi="Century Gothic" w:cs="Calibri"/>
          <w:b/>
          <w:color w:val="66CCFF"/>
          <w:sz w:val="28"/>
          <w:szCs w:val="28"/>
        </w:rPr>
        <w:t xml:space="preserve">TERMS OF REFERENCE </w:t>
      </w:r>
    </w:p>
    <w:p w14:paraId="1D825CE9" w14:textId="77777777" w:rsidR="000D140A" w:rsidRPr="00450848" w:rsidRDefault="000D140A" w:rsidP="002F1FAE">
      <w:pPr>
        <w:autoSpaceDE w:val="0"/>
        <w:autoSpaceDN w:val="0"/>
        <w:adjustRightInd w:val="0"/>
        <w:rPr>
          <w:rFonts w:ascii="Century Gothic" w:hAnsi="Century Gothic" w:cs="Calibri"/>
          <w:b/>
          <w:bCs/>
          <w:sz w:val="22"/>
          <w:szCs w:val="22"/>
        </w:rPr>
      </w:pPr>
    </w:p>
    <w:p w14:paraId="2A2F6607" w14:textId="77777777" w:rsidR="00A032B7" w:rsidRPr="00450848" w:rsidRDefault="00A032B7" w:rsidP="002F1FAE">
      <w:pPr>
        <w:rPr>
          <w:rFonts w:ascii="Century Gothic" w:hAnsi="Century Gothic" w:cs="Calibri"/>
          <w:b/>
          <w:color w:val="33CCFF"/>
          <w:sz w:val="22"/>
          <w:szCs w:val="22"/>
        </w:rPr>
      </w:pPr>
      <w:r w:rsidRPr="00450848">
        <w:rPr>
          <w:rFonts w:ascii="Century Gothic" w:hAnsi="Century Gothic" w:cs="Calibri"/>
          <w:b/>
          <w:color w:val="33CCFF"/>
          <w:sz w:val="22"/>
          <w:szCs w:val="22"/>
        </w:rPr>
        <w:t>PURPOSE</w:t>
      </w:r>
    </w:p>
    <w:p w14:paraId="0A2E8B71" w14:textId="77E8C502" w:rsidR="00350763" w:rsidRPr="00450848" w:rsidRDefault="00350763" w:rsidP="00E52324">
      <w:pPr>
        <w:pStyle w:val="Default"/>
        <w:rPr>
          <w:rFonts w:ascii="Century Gothic" w:hAnsi="Century Gothic" w:cs="Calibri"/>
          <w:sz w:val="16"/>
          <w:szCs w:val="16"/>
        </w:rPr>
      </w:pPr>
      <w:r w:rsidRPr="00450848">
        <w:rPr>
          <w:rFonts w:ascii="Century Gothic" w:hAnsi="Century Gothic" w:cs="Calibri"/>
          <w:sz w:val="22"/>
          <w:szCs w:val="22"/>
        </w:rPr>
        <w:t xml:space="preserve">The Stoke-on-Trent and Staffordshire Child Death Overview Panel (CDOP) was established in April 2008, in accordance with the requirements of the Children </w:t>
      </w:r>
      <w:r w:rsidR="00635945" w:rsidRPr="00450848">
        <w:rPr>
          <w:rFonts w:ascii="Century Gothic" w:hAnsi="Century Gothic" w:cs="Calibri"/>
          <w:sz w:val="22"/>
          <w:szCs w:val="22"/>
        </w:rPr>
        <w:t>Act,</w:t>
      </w:r>
      <w:r w:rsidRPr="00450848">
        <w:rPr>
          <w:rFonts w:ascii="Century Gothic" w:hAnsi="Century Gothic" w:cs="Calibri"/>
          <w:sz w:val="22"/>
          <w:szCs w:val="22"/>
        </w:rPr>
        <w:t xml:space="preserve"> 2004 and Working Together to Safeguard Children 2018</w:t>
      </w:r>
      <w:r w:rsidR="00E52324" w:rsidRPr="00450848">
        <w:rPr>
          <w:rFonts w:ascii="Century Gothic" w:hAnsi="Century Gothic" w:cs="Calibri"/>
          <w:sz w:val="22"/>
          <w:szCs w:val="22"/>
        </w:rPr>
        <w:t xml:space="preserve">.  </w:t>
      </w:r>
      <w:r w:rsidR="00E52324" w:rsidRPr="00450848">
        <w:rPr>
          <w:rFonts w:ascii="Century Gothic" w:hAnsi="Century Gothic"/>
          <w:sz w:val="22"/>
          <w:szCs w:val="22"/>
        </w:rPr>
        <w:t xml:space="preserve">The panel has created local structures and processes to review all deaths of children normally resident in </w:t>
      </w:r>
      <w:r w:rsidR="00E52324" w:rsidRPr="00450848">
        <w:rPr>
          <w:rFonts w:ascii="Century Gothic" w:hAnsi="Century Gothic" w:cs="Calibri"/>
          <w:sz w:val="22"/>
          <w:szCs w:val="22"/>
        </w:rPr>
        <w:t xml:space="preserve">Stoke-on-Trent and Staffordshire.  </w:t>
      </w:r>
      <w:r w:rsidR="00E52324" w:rsidRPr="00450848">
        <w:rPr>
          <w:rFonts w:ascii="Century Gothic" w:hAnsi="Century Gothic" w:cs="Calibri"/>
          <w:sz w:val="16"/>
          <w:szCs w:val="16"/>
        </w:rPr>
        <w:t>(A pragmatic approach is taken to reviewing the deaths of children not normally resident with agreement with their local CDOP).</w:t>
      </w:r>
    </w:p>
    <w:p w14:paraId="68E4C331" w14:textId="77777777" w:rsidR="00350763" w:rsidRPr="00450848" w:rsidRDefault="00350763" w:rsidP="00DA108D">
      <w:pPr>
        <w:jc w:val="both"/>
        <w:rPr>
          <w:rFonts w:ascii="Century Gothic" w:hAnsi="Century Gothic" w:cs="Calibri"/>
          <w:sz w:val="22"/>
          <w:szCs w:val="22"/>
        </w:rPr>
      </w:pPr>
    </w:p>
    <w:p w14:paraId="7338F26E" w14:textId="7DB1199B" w:rsidR="00350763" w:rsidRPr="00450848" w:rsidRDefault="00350763" w:rsidP="00CD50CE">
      <w:pPr>
        <w:jc w:val="both"/>
        <w:rPr>
          <w:rFonts w:ascii="Century Gothic" w:eastAsiaTheme="minorHAnsi" w:hAnsi="Century Gothic" w:cs="Calibri"/>
          <w:color w:val="000000"/>
          <w:sz w:val="22"/>
          <w:szCs w:val="22"/>
          <w:lang w:eastAsia="en-US"/>
        </w:rPr>
      </w:pPr>
      <w:r w:rsidRPr="00450848">
        <w:rPr>
          <w:rFonts w:ascii="Century Gothic" w:hAnsi="Century Gothic" w:cs="Arial"/>
          <w:color w:val="212529"/>
          <w:sz w:val="22"/>
          <w:szCs w:val="22"/>
          <w:lang w:val="en"/>
        </w:rPr>
        <w:t>The CDOP is the final, independent scrutiny of a child's death by professionals</w:t>
      </w:r>
      <w:r w:rsidR="004C68CF" w:rsidRPr="00450848">
        <w:rPr>
          <w:rFonts w:ascii="Century Gothic" w:hAnsi="Century Gothic" w:cs="Calibri"/>
          <w:sz w:val="22"/>
          <w:szCs w:val="22"/>
        </w:rPr>
        <w:t xml:space="preserve">.  </w:t>
      </w:r>
      <w:r w:rsidR="00CD50CE" w:rsidRPr="00450848">
        <w:rPr>
          <w:rFonts w:ascii="Century Gothic" w:hAnsi="Century Gothic" w:cs="Calibri"/>
          <w:sz w:val="22"/>
          <w:szCs w:val="22"/>
        </w:rPr>
        <w:t xml:space="preserve">It is there to </w:t>
      </w:r>
      <w:r w:rsidR="00A33F28" w:rsidRPr="00450848">
        <w:rPr>
          <w:rFonts w:ascii="Century Gothic" w:hAnsi="Century Gothic" w:cs="Arial"/>
          <w:color w:val="212529"/>
          <w:sz w:val="22"/>
          <w:szCs w:val="22"/>
        </w:rPr>
        <w:t>analyse</w:t>
      </w:r>
      <w:r w:rsidRPr="00450848">
        <w:rPr>
          <w:rFonts w:ascii="Century Gothic" w:hAnsi="Century Gothic" w:cs="Arial"/>
          <w:color w:val="212529"/>
          <w:sz w:val="22"/>
          <w:szCs w:val="22"/>
        </w:rPr>
        <w:t xml:space="preserve"> information from all deaths reviewed - </w:t>
      </w:r>
      <w:r w:rsidRPr="00450848">
        <w:rPr>
          <w:rFonts w:ascii="Century Gothic" w:hAnsi="Century Gothic" w:cs="Calibri"/>
          <w:sz w:val="22"/>
          <w:szCs w:val="22"/>
        </w:rPr>
        <w:t xml:space="preserve">consider what, if any, action should be taken in relation to any modifiable factors identified, and make </w:t>
      </w:r>
      <w:r w:rsidR="00635945" w:rsidRPr="00450848">
        <w:rPr>
          <w:rFonts w:ascii="Century Gothic" w:hAnsi="Century Gothic" w:cs="Calibri"/>
          <w:sz w:val="22"/>
          <w:szCs w:val="22"/>
        </w:rPr>
        <w:t>recommendations’</w:t>
      </w:r>
      <w:r w:rsidRPr="00450848">
        <w:rPr>
          <w:rFonts w:ascii="Century Gothic" w:hAnsi="Century Gothic" w:cs="Calibri"/>
          <w:sz w:val="22"/>
          <w:szCs w:val="22"/>
        </w:rPr>
        <w:t xml:space="preserve"> to multi-agency safeguarding </w:t>
      </w:r>
      <w:r w:rsidR="00635945" w:rsidRPr="00450848">
        <w:rPr>
          <w:rFonts w:ascii="Century Gothic" w:hAnsi="Century Gothic" w:cs="Calibri"/>
          <w:sz w:val="22"/>
          <w:szCs w:val="22"/>
        </w:rPr>
        <w:t>arrangements</w:t>
      </w:r>
      <w:r w:rsidRPr="00450848">
        <w:rPr>
          <w:rFonts w:ascii="Century Gothic" w:hAnsi="Century Gothic" w:cs="Calibri"/>
          <w:sz w:val="22"/>
          <w:szCs w:val="22"/>
        </w:rPr>
        <w:t xml:space="preserve"> , health and wellbeing and other relevant strategic partnerships and boards. </w:t>
      </w:r>
    </w:p>
    <w:p w14:paraId="6A5404AF" w14:textId="77777777" w:rsidR="00350763" w:rsidRPr="00450848" w:rsidRDefault="00350763" w:rsidP="00D1426B">
      <w:pPr>
        <w:jc w:val="both"/>
        <w:rPr>
          <w:rFonts w:ascii="Century Gothic" w:hAnsi="Century Gothic" w:cs="Arial"/>
          <w:color w:val="00B0F0"/>
          <w:sz w:val="22"/>
          <w:szCs w:val="22"/>
          <w:u w:val="single"/>
        </w:rPr>
      </w:pPr>
    </w:p>
    <w:p w14:paraId="02A9A37F" w14:textId="4A52857D" w:rsidR="00D1426B" w:rsidRPr="00450848" w:rsidRDefault="00B820DF" w:rsidP="00D1426B">
      <w:pPr>
        <w:jc w:val="both"/>
        <w:rPr>
          <w:rFonts w:ascii="Century Gothic" w:hAnsi="Century Gothic" w:cs="Calibri"/>
          <w:sz w:val="22"/>
          <w:szCs w:val="22"/>
        </w:rPr>
      </w:pPr>
      <w:r w:rsidRPr="00450848">
        <w:rPr>
          <w:rFonts w:ascii="Century Gothic" w:hAnsi="Century Gothic" w:cs="Calibri"/>
          <w:sz w:val="22"/>
          <w:szCs w:val="22"/>
        </w:rPr>
        <w:t>The panel</w:t>
      </w:r>
      <w:r w:rsidR="00D1426B" w:rsidRPr="00450848">
        <w:rPr>
          <w:rFonts w:ascii="Century Gothic" w:hAnsi="Century Gothic" w:cs="Calibri"/>
          <w:sz w:val="22"/>
          <w:szCs w:val="22"/>
        </w:rPr>
        <w:t xml:space="preserve"> provide</w:t>
      </w:r>
      <w:r w:rsidR="00A33F28" w:rsidRPr="00450848">
        <w:rPr>
          <w:rFonts w:ascii="Century Gothic" w:hAnsi="Century Gothic" w:cs="Calibri"/>
          <w:sz w:val="22"/>
          <w:szCs w:val="22"/>
        </w:rPr>
        <w:t>s</w:t>
      </w:r>
      <w:r w:rsidR="00D1426B" w:rsidRPr="00450848">
        <w:rPr>
          <w:rFonts w:ascii="Century Gothic" w:hAnsi="Century Gothic" w:cs="Calibri"/>
          <w:sz w:val="22"/>
          <w:szCs w:val="22"/>
        </w:rPr>
        <w:t xml:space="preserve"> oversight and assurance of the whole </w:t>
      </w:r>
      <w:r w:rsidR="00C17AD3" w:rsidRPr="00450848">
        <w:rPr>
          <w:rFonts w:ascii="Century Gothic" w:hAnsi="Century Gothic" w:cs="Calibri"/>
          <w:sz w:val="22"/>
          <w:szCs w:val="22"/>
        </w:rPr>
        <w:t>Child Death Review (</w:t>
      </w:r>
      <w:r w:rsidR="00D1426B" w:rsidRPr="00450848">
        <w:rPr>
          <w:rFonts w:ascii="Century Gothic" w:hAnsi="Century Gothic" w:cs="Calibri"/>
          <w:sz w:val="22"/>
          <w:szCs w:val="22"/>
        </w:rPr>
        <w:t>CDR</w:t>
      </w:r>
      <w:r w:rsidR="00C17AD3" w:rsidRPr="00450848">
        <w:rPr>
          <w:rFonts w:ascii="Century Gothic" w:hAnsi="Century Gothic" w:cs="Calibri"/>
          <w:sz w:val="22"/>
          <w:szCs w:val="22"/>
        </w:rPr>
        <w:t>)</w:t>
      </w:r>
      <w:r w:rsidR="00D1426B" w:rsidRPr="00450848">
        <w:rPr>
          <w:rFonts w:ascii="Century Gothic" w:hAnsi="Century Gothic" w:cs="Calibri"/>
          <w:sz w:val="22"/>
          <w:szCs w:val="22"/>
        </w:rPr>
        <w:t xml:space="preserve"> processes in accordance with the National Child Death Review Statutory and Operational Guidance (England) 2018 </w:t>
      </w:r>
      <w:hyperlink r:id="rId9" w:history="1">
        <w:r w:rsidR="00D1426B" w:rsidRPr="00450848">
          <w:rPr>
            <w:rStyle w:val="Hyperlink"/>
            <w:rFonts w:ascii="Century Gothic" w:hAnsi="Century Gothic" w:cs="Calibri"/>
            <w:sz w:val="22"/>
            <w:szCs w:val="22"/>
          </w:rPr>
          <w:t>https://www.gov.uk/government/publications/child-death-review-statutory-and-operational-guidance-england</w:t>
        </w:r>
      </w:hyperlink>
    </w:p>
    <w:p w14:paraId="44F5B5DE" w14:textId="77777777" w:rsidR="00EE3ABF" w:rsidRPr="00450848" w:rsidRDefault="00EE3ABF" w:rsidP="00015E8E">
      <w:pPr>
        <w:autoSpaceDE w:val="0"/>
        <w:autoSpaceDN w:val="0"/>
        <w:adjustRightInd w:val="0"/>
        <w:jc w:val="both"/>
        <w:rPr>
          <w:rFonts w:ascii="Century Gothic" w:hAnsi="Century Gothic" w:cs="Calibri"/>
          <w:b/>
          <w:bCs/>
          <w:sz w:val="22"/>
          <w:szCs w:val="22"/>
        </w:rPr>
      </w:pPr>
    </w:p>
    <w:p w14:paraId="1847B7E7" w14:textId="77777777" w:rsidR="00253FDF" w:rsidRPr="00450848" w:rsidRDefault="00253FDF" w:rsidP="00253FDF">
      <w:pPr>
        <w:autoSpaceDE w:val="0"/>
        <w:autoSpaceDN w:val="0"/>
        <w:adjustRightInd w:val="0"/>
        <w:ind w:left="284" w:hanging="284"/>
        <w:jc w:val="both"/>
        <w:rPr>
          <w:rFonts w:ascii="Century Gothic" w:hAnsi="Century Gothic" w:cs="Calibri"/>
          <w:b/>
          <w:color w:val="33CCFF"/>
          <w:sz w:val="22"/>
          <w:szCs w:val="22"/>
          <w:u w:val="single"/>
        </w:rPr>
      </w:pPr>
      <w:r w:rsidRPr="00450848">
        <w:rPr>
          <w:rFonts w:ascii="Century Gothic" w:hAnsi="Century Gothic" w:cs="Calibri"/>
          <w:b/>
          <w:color w:val="33CCFF"/>
          <w:sz w:val="22"/>
          <w:szCs w:val="22"/>
          <w:u w:val="single"/>
        </w:rPr>
        <w:t>MEMBERSHIP</w:t>
      </w:r>
    </w:p>
    <w:p w14:paraId="223F8BE3" w14:textId="356664F4" w:rsidR="00D03A8C" w:rsidRPr="00450848" w:rsidRDefault="00253FDF" w:rsidP="00D03A8C">
      <w:pPr>
        <w:rPr>
          <w:rFonts w:ascii="Century Gothic" w:hAnsi="Century Gothic"/>
          <w:sz w:val="22"/>
          <w:szCs w:val="22"/>
        </w:rPr>
      </w:pPr>
      <w:r w:rsidRPr="00450848">
        <w:rPr>
          <w:rFonts w:ascii="Century Gothic" w:hAnsi="Century Gothic" w:cs="Calibri"/>
          <w:sz w:val="22"/>
          <w:szCs w:val="22"/>
        </w:rPr>
        <w:t>The Child Death Overview Panel will have a fixed core membership drawn from the key organisations</w:t>
      </w:r>
      <w:r w:rsidR="001817A6" w:rsidRPr="00450848">
        <w:rPr>
          <w:rFonts w:ascii="Century Gothic" w:hAnsi="Century Gothic" w:cs="Calibri"/>
          <w:sz w:val="22"/>
          <w:szCs w:val="22"/>
        </w:rPr>
        <w:t xml:space="preserve"> Social Care, Health and the Police.</w:t>
      </w:r>
      <w:r w:rsidR="00D03A8C" w:rsidRPr="00450848">
        <w:rPr>
          <w:rFonts w:ascii="Century Gothic" w:hAnsi="Century Gothic" w:cs="Calibri"/>
          <w:sz w:val="22"/>
          <w:szCs w:val="22"/>
        </w:rPr>
        <w:t xml:space="preserve"> </w:t>
      </w:r>
      <w:r w:rsidR="00D03A8C" w:rsidRPr="00450848">
        <w:rPr>
          <w:rFonts w:ascii="Century Gothic" w:hAnsi="Century Gothic" w:cs="Calibri"/>
          <w:b/>
          <w:sz w:val="22"/>
          <w:szCs w:val="22"/>
        </w:rPr>
        <w:t xml:space="preserve">The </w:t>
      </w:r>
      <w:r w:rsidR="00D03A8C" w:rsidRPr="00450848">
        <w:rPr>
          <w:rFonts w:ascii="Century Gothic" w:hAnsi="Century Gothic"/>
          <w:b/>
          <w:sz w:val="22"/>
          <w:szCs w:val="22"/>
        </w:rPr>
        <w:t>role of attendees is to represent their</w:t>
      </w:r>
      <w:r w:rsidR="00AA243A" w:rsidRPr="00450848">
        <w:rPr>
          <w:rFonts w:ascii="Century Gothic" w:hAnsi="Century Gothic"/>
          <w:b/>
          <w:sz w:val="22"/>
          <w:szCs w:val="22"/>
        </w:rPr>
        <w:t xml:space="preserve"> </w:t>
      </w:r>
      <w:r w:rsidR="00D03A8C" w:rsidRPr="00450848">
        <w:rPr>
          <w:rFonts w:ascii="Century Gothic" w:hAnsi="Century Gothic"/>
          <w:b/>
          <w:sz w:val="22"/>
          <w:szCs w:val="22"/>
        </w:rPr>
        <w:t xml:space="preserve">wider organisation / agency at a level that they can make decisions and take on board actions and embed learning.  </w:t>
      </w:r>
      <w:r w:rsidR="001817A6" w:rsidRPr="00450848">
        <w:rPr>
          <w:rFonts w:ascii="Century Gothic" w:hAnsi="Century Gothic"/>
          <w:b/>
          <w:sz w:val="22"/>
          <w:szCs w:val="22"/>
        </w:rPr>
        <w:t>Where they are unable to resolve or influence change, issues must be brought back to CDOP for escalation to the safeguarding board.</w:t>
      </w:r>
    </w:p>
    <w:p w14:paraId="38DB4087" w14:textId="4E475974" w:rsidR="00D03A8C" w:rsidRPr="00450848" w:rsidRDefault="00D03A8C" w:rsidP="00253FDF">
      <w:pPr>
        <w:autoSpaceDE w:val="0"/>
        <w:autoSpaceDN w:val="0"/>
        <w:adjustRightInd w:val="0"/>
        <w:jc w:val="both"/>
        <w:rPr>
          <w:rFonts w:ascii="Century Gothic" w:hAnsi="Century Gothic" w:cs="Calibri"/>
          <w:sz w:val="22"/>
          <w:szCs w:val="22"/>
        </w:rPr>
      </w:pPr>
    </w:p>
    <w:p w14:paraId="1266C488" w14:textId="537C7BA8" w:rsidR="00253FDF" w:rsidRPr="00450848" w:rsidRDefault="00253FDF" w:rsidP="00253FDF">
      <w:pPr>
        <w:autoSpaceDE w:val="0"/>
        <w:autoSpaceDN w:val="0"/>
        <w:adjustRightInd w:val="0"/>
        <w:jc w:val="both"/>
        <w:rPr>
          <w:rFonts w:ascii="Century Gothic" w:hAnsi="Century Gothic" w:cs="Calibri"/>
          <w:sz w:val="22"/>
          <w:szCs w:val="22"/>
        </w:rPr>
      </w:pPr>
      <w:r w:rsidRPr="00450848">
        <w:rPr>
          <w:rFonts w:ascii="Century Gothic" w:hAnsi="Century Gothic" w:cs="Calibri"/>
          <w:sz w:val="22"/>
          <w:szCs w:val="22"/>
        </w:rPr>
        <w:t>Additional members could be housing, education, health and wellbeing, and hospice. Other relevant professionals will be co-opt</w:t>
      </w:r>
      <w:r w:rsidR="00F5136F" w:rsidRPr="00450848">
        <w:rPr>
          <w:rFonts w:ascii="Century Gothic" w:hAnsi="Century Gothic" w:cs="Calibri"/>
          <w:sz w:val="22"/>
          <w:szCs w:val="22"/>
        </w:rPr>
        <w:t>ed</w:t>
      </w:r>
      <w:r w:rsidRPr="00450848">
        <w:rPr>
          <w:rFonts w:ascii="Century Gothic" w:hAnsi="Century Gothic" w:cs="Calibri"/>
          <w:sz w:val="22"/>
          <w:szCs w:val="22"/>
        </w:rPr>
        <w:t xml:space="preserve"> to discuss certain types of death as and when appropriate.  The CDOP will be chaired by a representative from Staffordshire Police.  A ‘lay’ member will also sit on the panel and be involved in group activity and direction. </w:t>
      </w:r>
    </w:p>
    <w:p w14:paraId="0B8E3DF2" w14:textId="77777777" w:rsidR="00253FDF" w:rsidRPr="00450848" w:rsidRDefault="00253FDF" w:rsidP="00253FDF">
      <w:pPr>
        <w:autoSpaceDE w:val="0"/>
        <w:autoSpaceDN w:val="0"/>
        <w:adjustRightInd w:val="0"/>
        <w:jc w:val="both"/>
        <w:rPr>
          <w:rFonts w:ascii="Century Gothic" w:hAnsi="Century Gothic" w:cs="Calibri"/>
          <w:sz w:val="22"/>
          <w:szCs w:val="22"/>
        </w:rPr>
      </w:pPr>
    </w:p>
    <w:p w14:paraId="5AD03C48" w14:textId="0EAF39E4" w:rsidR="00253FDF" w:rsidRPr="00450848" w:rsidRDefault="00253FDF" w:rsidP="00A33F28">
      <w:pPr>
        <w:autoSpaceDE w:val="0"/>
        <w:autoSpaceDN w:val="0"/>
        <w:adjustRightInd w:val="0"/>
        <w:jc w:val="both"/>
        <w:rPr>
          <w:rFonts w:ascii="Century Gothic" w:hAnsi="Century Gothic" w:cs="Calibri"/>
          <w:sz w:val="22"/>
          <w:szCs w:val="22"/>
        </w:rPr>
      </w:pPr>
      <w:r w:rsidRPr="00450848">
        <w:rPr>
          <w:rFonts w:ascii="Century Gothic" w:hAnsi="Century Gothic" w:cs="Calibri"/>
          <w:sz w:val="22"/>
          <w:szCs w:val="22"/>
        </w:rPr>
        <w:t>Panel members must declare any conflict of interest at the outset of each meeting and panel members should not lead discussions if th</w:t>
      </w:r>
      <w:r w:rsidR="00A33F28" w:rsidRPr="00450848">
        <w:rPr>
          <w:rFonts w:ascii="Century Gothic" w:hAnsi="Century Gothic" w:cs="Calibri"/>
          <w:sz w:val="22"/>
          <w:szCs w:val="22"/>
        </w:rPr>
        <w:t>ey are the named professional</w:t>
      </w:r>
      <w:r w:rsidR="001817A6" w:rsidRPr="00450848">
        <w:rPr>
          <w:rFonts w:ascii="Century Gothic" w:hAnsi="Century Gothic" w:cs="Calibri"/>
          <w:sz w:val="22"/>
          <w:szCs w:val="22"/>
        </w:rPr>
        <w:t xml:space="preserve"> </w:t>
      </w:r>
      <w:r w:rsidR="00276BC4" w:rsidRPr="00450848">
        <w:rPr>
          <w:rFonts w:ascii="Century Gothic" w:hAnsi="Century Gothic" w:cs="Calibri"/>
          <w:sz w:val="22"/>
          <w:szCs w:val="22"/>
        </w:rPr>
        <w:t>for</w:t>
      </w:r>
      <w:r w:rsidR="001817A6" w:rsidRPr="00450848">
        <w:rPr>
          <w:rFonts w:ascii="Century Gothic" w:hAnsi="Century Gothic" w:cs="Calibri"/>
          <w:sz w:val="22"/>
          <w:szCs w:val="22"/>
        </w:rPr>
        <w:t xml:space="preserve"> a specific case.</w:t>
      </w:r>
    </w:p>
    <w:p w14:paraId="2543DD25" w14:textId="77777777" w:rsidR="00A33F28" w:rsidRPr="00450848" w:rsidRDefault="00A33F28" w:rsidP="00A33F28">
      <w:pPr>
        <w:autoSpaceDE w:val="0"/>
        <w:autoSpaceDN w:val="0"/>
        <w:adjustRightInd w:val="0"/>
        <w:jc w:val="both"/>
        <w:rPr>
          <w:rFonts w:ascii="Century Gothic" w:hAnsi="Century Gothic" w:cs="Calibri"/>
          <w:sz w:val="22"/>
          <w:szCs w:val="22"/>
        </w:rPr>
      </w:pPr>
    </w:p>
    <w:p w14:paraId="01A57A7D" w14:textId="2F1A39EE" w:rsidR="00253FDF" w:rsidRPr="00450848" w:rsidRDefault="00253FDF" w:rsidP="00253FDF">
      <w:pPr>
        <w:rPr>
          <w:rFonts w:ascii="Century Gothic" w:hAnsi="Century Gothic"/>
          <w:sz w:val="22"/>
          <w:szCs w:val="22"/>
        </w:rPr>
      </w:pPr>
      <w:r w:rsidRPr="00450848">
        <w:rPr>
          <w:rFonts w:ascii="Century Gothic" w:hAnsi="Century Gothic"/>
          <w:sz w:val="22"/>
          <w:szCs w:val="22"/>
        </w:rPr>
        <w:t>The CDOP membership will be reviewed annually</w:t>
      </w:r>
      <w:r w:rsidR="00C52A1F" w:rsidRPr="00450848">
        <w:rPr>
          <w:rFonts w:ascii="Century Gothic" w:hAnsi="Century Gothic"/>
          <w:sz w:val="22"/>
          <w:szCs w:val="22"/>
        </w:rPr>
        <w:t xml:space="preserve"> at every second meeting of the year by members ascertaining membership and engagement appropriate for activity. </w:t>
      </w:r>
    </w:p>
    <w:p w14:paraId="4458C934" w14:textId="77777777" w:rsidR="00253FDF" w:rsidRPr="00450848" w:rsidRDefault="00253FDF" w:rsidP="00253FDF">
      <w:pPr>
        <w:rPr>
          <w:rFonts w:ascii="Century Gothic" w:hAnsi="Century Gothic"/>
          <w:sz w:val="22"/>
          <w:szCs w:val="22"/>
        </w:rPr>
      </w:pPr>
    </w:p>
    <w:p w14:paraId="1D2BA7C9" w14:textId="675CBF62" w:rsidR="00253FDF" w:rsidRPr="00450848" w:rsidRDefault="00253FDF" w:rsidP="00253FDF">
      <w:pPr>
        <w:autoSpaceDE w:val="0"/>
        <w:autoSpaceDN w:val="0"/>
        <w:adjustRightInd w:val="0"/>
        <w:rPr>
          <w:rFonts w:ascii="Century Gothic" w:hAnsi="Century Gothic"/>
          <w:sz w:val="22"/>
          <w:szCs w:val="22"/>
        </w:rPr>
      </w:pPr>
      <w:r w:rsidRPr="00450848">
        <w:rPr>
          <w:rFonts w:ascii="Century Gothic" w:hAnsi="Century Gothic"/>
          <w:sz w:val="22"/>
          <w:szCs w:val="22"/>
        </w:rPr>
        <w:t xml:space="preserve">Additional CDOP specialist meetings, with CDOP member representation and ad hoc professionals will be </w:t>
      </w:r>
      <w:r w:rsidR="00947204" w:rsidRPr="00450848">
        <w:rPr>
          <w:rFonts w:ascii="Century Gothic" w:hAnsi="Century Gothic"/>
          <w:sz w:val="22"/>
          <w:szCs w:val="22"/>
        </w:rPr>
        <w:t>arranged</w:t>
      </w:r>
      <w:r w:rsidR="001817A6" w:rsidRPr="00450848">
        <w:rPr>
          <w:rFonts w:ascii="Century Gothic" w:hAnsi="Century Gothic"/>
          <w:sz w:val="22"/>
          <w:szCs w:val="22"/>
        </w:rPr>
        <w:t xml:space="preserve">, </w:t>
      </w:r>
      <w:r w:rsidR="00276BC4" w:rsidRPr="00450848">
        <w:rPr>
          <w:rFonts w:ascii="Century Gothic" w:hAnsi="Century Gothic"/>
          <w:sz w:val="22"/>
          <w:szCs w:val="22"/>
        </w:rPr>
        <w:t>e.g.</w:t>
      </w:r>
      <w:r w:rsidR="001817A6" w:rsidRPr="00450848">
        <w:rPr>
          <w:rFonts w:ascii="Century Gothic" w:hAnsi="Century Gothic"/>
          <w:sz w:val="22"/>
          <w:szCs w:val="22"/>
        </w:rPr>
        <w:t xml:space="preserve"> neonatologists for neonatal deaths, police collision investigators for road traffic deaths</w:t>
      </w:r>
      <w:r w:rsidR="00CD50CE" w:rsidRPr="00450848">
        <w:rPr>
          <w:rFonts w:ascii="Century Gothic" w:hAnsi="Century Gothic"/>
          <w:sz w:val="22"/>
          <w:szCs w:val="22"/>
        </w:rPr>
        <w:t xml:space="preserve">. A LeDeR representative will be invited to </w:t>
      </w:r>
      <w:r w:rsidR="00C17AD3" w:rsidRPr="00450848">
        <w:rPr>
          <w:rFonts w:ascii="Century Gothic" w:hAnsi="Century Gothic" w:cs="Calibri"/>
          <w:sz w:val="22"/>
          <w:szCs w:val="22"/>
        </w:rPr>
        <w:t>Child Death Review (</w:t>
      </w:r>
      <w:r w:rsidR="00CD50CE" w:rsidRPr="00450848">
        <w:rPr>
          <w:rFonts w:ascii="Century Gothic" w:hAnsi="Century Gothic"/>
          <w:sz w:val="22"/>
          <w:szCs w:val="22"/>
        </w:rPr>
        <w:t>CDR</w:t>
      </w:r>
      <w:r w:rsidR="00C17AD3" w:rsidRPr="00450848">
        <w:rPr>
          <w:rFonts w:ascii="Century Gothic" w:hAnsi="Century Gothic"/>
          <w:sz w:val="22"/>
          <w:szCs w:val="22"/>
        </w:rPr>
        <w:t>)</w:t>
      </w:r>
      <w:r w:rsidR="00CD50CE" w:rsidRPr="00450848">
        <w:rPr>
          <w:rFonts w:ascii="Century Gothic" w:hAnsi="Century Gothic"/>
          <w:sz w:val="22"/>
          <w:szCs w:val="22"/>
        </w:rPr>
        <w:t xml:space="preserve"> meetings. </w:t>
      </w:r>
      <w:r w:rsidR="002F3C16" w:rsidRPr="00450848">
        <w:rPr>
          <w:rFonts w:ascii="Century Gothic" w:hAnsi="Century Gothic"/>
          <w:sz w:val="22"/>
          <w:szCs w:val="22"/>
        </w:rPr>
        <w:t xml:space="preserve"> </w:t>
      </w:r>
    </w:p>
    <w:p w14:paraId="31730998" w14:textId="77777777" w:rsidR="00A33F28" w:rsidRPr="00450848" w:rsidRDefault="00A33F28" w:rsidP="00253FDF">
      <w:pPr>
        <w:autoSpaceDE w:val="0"/>
        <w:autoSpaceDN w:val="0"/>
        <w:adjustRightInd w:val="0"/>
        <w:rPr>
          <w:rFonts w:ascii="Century Gothic" w:hAnsi="Century Gothic"/>
          <w:sz w:val="22"/>
          <w:szCs w:val="22"/>
        </w:rPr>
      </w:pPr>
    </w:p>
    <w:p w14:paraId="1181EAC2" w14:textId="16964671" w:rsidR="00A33F28" w:rsidRPr="00450848" w:rsidRDefault="00253FDF" w:rsidP="00253FDF">
      <w:pPr>
        <w:pStyle w:val="Default"/>
        <w:rPr>
          <w:rFonts w:ascii="Century Gothic" w:hAnsi="Century Gothic"/>
          <w:sz w:val="22"/>
          <w:szCs w:val="22"/>
        </w:rPr>
      </w:pPr>
      <w:r w:rsidRPr="00450848">
        <w:rPr>
          <w:rFonts w:ascii="Century Gothic" w:hAnsi="Century Gothic"/>
          <w:sz w:val="22"/>
          <w:szCs w:val="22"/>
        </w:rPr>
        <w:t xml:space="preserve">Quoracy should usually demand attendance by lead professionals from </w:t>
      </w:r>
      <w:r w:rsidR="00ED5C3E" w:rsidRPr="00450848">
        <w:rPr>
          <w:rFonts w:ascii="Century Gothic" w:hAnsi="Century Gothic"/>
          <w:sz w:val="22"/>
          <w:szCs w:val="22"/>
        </w:rPr>
        <w:t>CDOP</w:t>
      </w:r>
      <w:r w:rsidR="00FC4799">
        <w:rPr>
          <w:rFonts w:ascii="Century Gothic" w:hAnsi="Century Gothic"/>
          <w:sz w:val="22"/>
          <w:szCs w:val="22"/>
        </w:rPr>
        <w:t xml:space="preserve"> partners </w:t>
      </w:r>
      <w:r w:rsidR="00A0698D" w:rsidRPr="00450848">
        <w:rPr>
          <w:rFonts w:ascii="Century Gothic" w:hAnsi="Century Gothic"/>
          <w:sz w:val="22"/>
          <w:szCs w:val="22"/>
        </w:rPr>
        <w:t xml:space="preserve"> </w:t>
      </w:r>
      <w:r w:rsidR="00FC4799">
        <w:rPr>
          <w:rFonts w:ascii="Century Gothic" w:hAnsi="Century Gothic"/>
          <w:sz w:val="22"/>
          <w:szCs w:val="22"/>
        </w:rPr>
        <w:t xml:space="preserve">e.g. </w:t>
      </w:r>
      <w:r w:rsidR="00A0698D" w:rsidRPr="00450848">
        <w:rPr>
          <w:rFonts w:ascii="Century Gothic" w:hAnsi="Century Gothic"/>
          <w:sz w:val="22"/>
          <w:szCs w:val="22"/>
        </w:rPr>
        <w:t>H</w:t>
      </w:r>
      <w:r w:rsidR="006917DF" w:rsidRPr="00450848">
        <w:rPr>
          <w:rFonts w:ascii="Century Gothic" w:hAnsi="Century Gothic"/>
          <w:sz w:val="22"/>
          <w:szCs w:val="22"/>
        </w:rPr>
        <w:t xml:space="preserve">ealth, </w:t>
      </w:r>
      <w:r w:rsidR="00414CA0" w:rsidRPr="00450848">
        <w:rPr>
          <w:rFonts w:ascii="Century Gothic" w:hAnsi="Century Gothic"/>
          <w:sz w:val="22"/>
          <w:szCs w:val="22"/>
        </w:rPr>
        <w:t>Public Health</w:t>
      </w:r>
      <w:r w:rsidR="0069321C">
        <w:rPr>
          <w:rFonts w:ascii="Century Gothic" w:hAnsi="Century Gothic"/>
          <w:sz w:val="22"/>
          <w:szCs w:val="22"/>
        </w:rPr>
        <w:t xml:space="preserve"> and </w:t>
      </w:r>
      <w:r w:rsidR="006917DF" w:rsidRPr="00450848">
        <w:rPr>
          <w:rFonts w:ascii="Century Gothic" w:hAnsi="Century Gothic"/>
          <w:sz w:val="22"/>
          <w:szCs w:val="22"/>
        </w:rPr>
        <w:t>local authority</w:t>
      </w:r>
      <w:r w:rsidR="00A0698D" w:rsidRPr="00450848">
        <w:rPr>
          <w:rFonts w:ascii="Century Gothic" w:hAnsi="Century Gothic"/>
          <w:sz w:val="22"/>
          <w:szCs w:val="22"/>
        </w:rPr>
        <w:t>.</w:t>
      </w:r>
      <w:r w:rsidR="001352F8" w:rsidRPr="00450848">
        <w:rPr>
          <w:rFonts w:ascii="Century Gothic" w:hAnsi="Century Gothic"/>
          <w:sz w:val="22"/>
          <w:szCs w:val="22"/>
        </w:rPr>
        <w:t xml:space="preserve">  Themed panels will be developed in line with local circumstances and may have a different membership.</w:t>
      </w:r>
    </w:p>
    <w:p w14:paraId="5302E75F" w14:textId="77777777" w:rsidR="00A33F28" w:rsidRPr="00450848" w:rsidRDefault="00A33F28">
      <w:pPr>
        <w:spacing w:after="160" w:line="259" w:lineRule="auto"/>
        <w:rPr>
          <w:rFonts w:ascii="Century Gothic" w:eastAsiaTheme="minorHAnsi" w:hAnsi="Century Gothic" w:cs="Arial"/>
          <w:color w:val="000000"/>
          <w:sz w:val="22"/>
          <w:szCs w:val="22"/>
          <w:lang w:eastAsia="en-US"/>
        </w:rPr>
      </w:pPr>
      <w:r w:rsidRPr="00450848">
        <w:rPr>
          <w:rFonts w:ascii="Century Gothic" w:hAnsi="Century Gothic"/>
          <w:sz w:val="22"/>
          <w:szCs w:val="22"/>
        </w:rPr>
        <w:br w:type="page"/>
      </w:r>
    </w:p>
    <w:p w14:paraId="0F49496C" w14:textId="77777777" w:rsidR="00253FDF" w:rsidRPr="00450848" w:rsidRDefault="00253FDF" w:rsidP="00253FDF">
      <w:pPr>
        <w:pStyle w:val="Default"/>
        <w:rPr>
          <w:rFonts w:ascii="Century Gothic" w:hAnsi="Century Gothic"/>
          <w:sz w:val="4"/>
          <w:szCs w:val="4"/>
        </w:rPr>
      </w:pPr>
    </w:p>
    <w:p w14:paraId="6BA0CF56" w14:textId="77777777" w:rsidR="00253FDF" w:rsidRPr="00450848" w:rsidRDefault="00253FDF" w:rsidP="00253FDF">
      <w:pPr>
        <w:autoSpaceDE w:val="0"/>
        <w:autoSpaceDN w:val="0"/>
        <w:adjustRightInd w:val="0"/>
        <w:jc w:val="both"/>
        <w:rPr>
          <w:rFonts w:ascii="Century Gothic" w:hAnsi="Century Gothic" w:cs="Calibri"/>
          <w:b/>
          <w:bCs/>
          <w:color w:val="33CCFF"/>
          <w:sz w:val="22"/>
          <w:szCs w:val="22"/>
          <w:u w:val="single"/>
        </w:rPr>
      </w:pPr>
      <w:r w:rsidRPr="00450848">
        <w:rPr>
          <w:rFonts w:ascii="Century Gothic" w:hAnsi="Century Gothic" w:cs="Calibri"/>
          <w:b/>
          <w:bCs/>
          <w:color w:val="33CCFF"/>
          <w:sz w:val="22"/>
          <w:szCs w:val="22"/>
          <w:u w:val="single"/>
        </w:rPr>
        <w:t>ACCOUNTABILITY AND REPORTING ARRANGEMENTS</w:t>
      </w:r>
    </w:p>
    <w:p w14:paraId="0B848B42" w14:textId="50275AFF" w:rsidR="00635A6C" w:rsidRPr="00450848" w:rsidRDefault="00253FDF" w:rsidP="00CD50CE">
      <w:pPr>
        <w:tabs>
          <w:tab w:val="left" w:pos="0"/>
        </w:tabs>
        <w:rPr>
          <w:rFonts w:ascii="Century Gothic" w:eastAsiaTheme="minorHAnsi" w:hAnsi="Century Gothic" w:cs="Arial"/>
          <w:color w:val="000000"/>
          <w:sz w:val="23"/>
          <w:szCs w:val="23"/>
          <w:lang w:eastAsia="en-US"/>
        </w:rPr>
      </w:pPr>
      <w:r w:rsidRPr="00450848">
        <w:rPr>
          <w:rFonts w:ascii="Century Gothic" w:hAnsi="Century Gothic" w:cs="Calibri"/>
          <w:sz w:val="22"/>
          <w:szCs w:val="22"/>
        </w:rPr>
        <w:t xml:space="preserve">The CDOP will be accountable to </w:t>
      </w:r>
      <w:r w:rsidR="00C17AD3" w:rsidRPr="00450848">
        <w:rPr>
          <w:rFonts w:ascii="Century Gothic" w:hAnsi="Century Gothic" w:cs="Calibri"/>
          <w:sz w:val="22"/>
          <w:szCs w:val="22"/>
        </w:rPr>
        <w:t>Child Death Review (</w:t>
      </w:r>
      <w:r w:rsidRPr="00450848">
        <w:rPr>
          <w:rFonts w:ascii="Century Gothic" w:hAnsi="Century Gothic" w:cs="Calibri"/>
          <w:sz w:val="22"/>
          <w:szCs w:val="22"/>
        </w:rPr>
        <w:t>CDR</w:t>
      </w:r>
      <w:r w:rsidR="00C17AD3" w:rsidRPr="00450848">
        <w:rPr>
          <w:rFonts w:ascii="Century Gothic" w:hAnsi="Century Gothic" w:cs="Calibri"/>
          <w:sz w:val="22"/>
          <w:szCs w:val="22"/>
        </w:rPr>
        <w:t>)</w:t>
      </w:r>
      <w:r w:rsidRPr="00450848">
        <w:rPr>
          <w:rFonts w:ascii="Century Gothic" w:hAnsi="Century Gothic" w:cs="Calibri"/>
          <w:sz w:val="22"/>
          <w:szCs w:val="22"/>
        </w:rPr>
        <w:t xml:space="preserve"> partners</w:t>
      </w:r>
      <w:r w:rsidR="000F60D5" w:rsidRPr="00450848">
        <w:rPr>
          <w:rFonts w:ascii="Century Gothic" w:hAnsi="Century Gothic" w:cs="Calibri"/>
          <w:sz w:val="22"/>
          <w:szCs w:val="22"/>
        </w:rPr>
        <w:t xml:space="preserve">.  </w:t>
      </w:r>
    </w:p>
    <w:p w14:paraId="6EC7D849" w14:textId="77777777" w:rsidR="00635A6C" w:rsidRPr="00450848" w:rsidRDefault="00635A6C" w:rsidP="000B61BB">
      <w:pPr>
        <w:tabs>
          <w:tab w:val="left" w:pos="0"/>
        </w:tabs>
        <w:rPr>
          <w:rFonts w:ascii="Century Gothic" w:hAnsi="Century Gothic"/>
          <w:sz w:val="22"/>
          <w:szCs w:val="22"/>
        </w:rPr>
      </w:pPr>
    </w:p>
    <w:p w14:paraId="133F1566" w14:textId="6DB295EA" w:rsidR="00253FDF" w:rsidRPr="00450848" w:rsidRDefault="00253FDF" w:rsidP="000B61BB">
      <w:pPr>
        <w:tabs>
          <w:tab w:val="left" w:pos="0"/>
        </w:tabs>
        <w:rPr>
          <w:rFonts w:ascii="Century Gothic" w:hAnsi="Century Gothic"/>
          <w:sz w:val="22"/>
          <w:szCs w:val="22"/>
        </w:rPr>
      </w:pPr>
      <w:r w:rsidRPr="00450848">
        <w:rPr>
          <w:rFonts w:ascii="Century Gothic" w:hAnsi="Century Gothic"/>
          <w:sz w:val="22"/>
          <w:szCs w:val="22"/>
        </w:rPr>
        <w:t xml:space="preserve">The Performance and Quality Assurance Framework sets out how the Board uses data and intelligence to assess the effectiveness of the help being provided to children and families, including early help (Working Together 2018). </w:t>
      </w:r>
    </w:p>
    <w:p w14:paraId="7624A6F8" w14:textId="77777777" w:rsidR="00253FDF" w:rsidRPr="00450848" w:rsidRDefault="00253FDF" w:rsidP="00253FDF">
      <w:pPr>
        <w:autoSpaceDE w:val="0"/>
        <w:autoSpaceDN w:val="0"/>
        <w:adjustRightInd w:val="0"/>
        <w:jc w:val="both"/>
        <w:rPr>
          <w:rFonts w:ascii="Century Gothic" w:hAnsi="Century Gothic" w:cs="Calibri"/>
          <w:sz w:val="22"/>
          <w:szCs w:val="22"/>
        </w:rPr>
      </w:pPr>
    </w:p>
    <w:p w14:paraId="77266BC8" w14:textId="4AB8B8D9" w:rsidR="00253FDF" w:rsidRPr="00450848" w:rsidRDefault="008C2D5B" w:rsidP="00253FDF">
      <w:pPr>
        <w:pStyle w:val="ListParagraph"/>
        <w:numPr>
          <w:ilvl w:val="0"/>
          <w:numId w:val="10"/>
        </w:numPr>
        <w:ind w:left="567" w:hanging="283"/>
        <w:contextualSpacing/>
        <w:jc w:val="both"/>
        <w:rPr>
          <w:rFonts w:ascii="Century Gothic" w:hAnsi="Century Gothic"/>
          <w:sz w:val="22"/>
          <w:szCs w:val="22"/>
        </w:rPr>
      </w:pPr>
      <w:r w:rsidRPr="00450848">
        <w:rPr>
          <w:rFonts w:ascii="Century Gothic" w:hAnsi="Century Gothic"/>
          <w:sz w:val="22"/>
          <w:szCs w:val="22"/>
        </w:rPr>
        <w:t>An overview of the meeting, minutes and matters arising</w:t>
      </w:r>
      <w:r w:rsidR="00253FDF" w:rsidRPr="00450848">
        <w:rPr>
          <w:rFonts w:ascii="Century Gothic" w:hAnsi="Century Gothic"/>
          <w:sz w:val="22"/>
          <w:szCs w:val="22"/>
        </w:rPr>
        <w:t xml:space="preserve"> will be </w:t>
      </w:r>
      <w:r w:rsidRPr="00450848">
        <w:rPr>
          <w:rFonts w:ascii="Century Gothic" w:hAnsi="Century Gothic"/>
          <w:sz w:val="22"/>
          <w:szCs w:val="22"/>
        </w:rPr>
        <w:t>shared with partners</w:t>
      </w:r>
      <w:r w:rsidR="00253FDF" w:rsidRPr="00450848">
        <w:rPr>
          <w:rFonts w:ascii="Century Gothic" w:hAnsi="Century Gothic"/>
          <w:sz w:val="22"/>
          <w:szCs w:val="22"/>
        </w:rPr>
        <w:t xml:space="preserve"> </w:t>
      </w:r>
      <w:r w:rsidR="001817A6" w:rsidRPr="00450848">
        <w:rPr>
          <w:rFonts w:ascii="Century Gothic" w:hAnsi="Century Gothic"/>
          <w:sz w:val="22"/>
          <w:szCs w:val="22"/>
        </w:rPr>
        <w:t>after every CDOP meeting</w:t>
      </w:r>
      <w:r w:rsidR="005457AF" w:rsidRPr="00450848">
        <w:rPr>
          <w:rFonts w:ascii="Century Gothic" w:hAnsi="Century Gothic"/>
          <w:sz w:val="22"/>
          <w:szCs w:val="22"/>
        </w:rPr>
        <w:t xml:space="preserve">.  This information will relay performance and quality </w:t>
      </w:r>
      <w:r w:rsidR="00C13AA5" w:rsidRPr="00450848">
        <w:rPr>
          <w:rFonts w:ascii="Century Gothic" w:hAnsi="Century Gothic"/>
          <w:sz w:val="22"/>
          <w:szCs w:val="22"/>
        </w:rPr>
        <w:t>actions taken by CDOP to note good practice in the child death processes, where practice needs to improve and how we effect initiatives to keep processes (and mortality) on an improving track</w:t>
      </w:r>
      <w:r w:rsidR="00694D4D">
        <w:rPr>
          <w:rFonts w:ascii="Century Gothic" w:hAnsi="Century Gothic"/>
          <w:sz w:val="22"/>
          <w:szCs w:val="22"/>
        </w:rPr>
        <w:t xml:space="preserve"> eg</w:t>
      </w:r>
      <w:r w:rsidR="00C13AA5" w:rsidRPr="00450848">
        <w:rPr>
          <w:rFonts w:ascii="Century Gothic" w:hAnsi="Century Gothic"/>
          <w:sz w:val="22"/>
          <w:szCs w:val="22"/>
        </w:rPr>
        <w:t xml:space="preserve"> through writing guidelines, ensuring guidelines are appropriate and enhancing education and support.  </w:t>
      </w:r>
      <w:r w:rsidR="00A05843" w:rsidRPr="00450848">
        <w:rPr>
          <w:rFonts w:ascii="Century Gothic" w:hAnsi="Century Gothic"/>
          <w:sz w:val="22"/>
          <w:szCs w:val="22"/>
        </w:rPr>
        <w:t xml:space="preserve">Public Health will provide information epidemiological and health surveillance data and assist in evaluating patterns and trends in relation to child deaths and in implementing public health prevention initiatives and programmes. </w:t>
      </w:r>
    </w:p>
    <w:p w14:paraId="1801C2E2" w14:textId="77777777" w:rsidR="00253FDF" w:rsidRPr="00450848" w:rsidRDefault="00253FDF" w:rsidP="00253FDF">
      <w:pPr>
        <w:pStyle w:val="ListParagraph"/>
        <w:numPr>
          <w:ilvl w:val="0"/>
          <w:numId w:val="10"/>
        </w:numPr>
        <w:ind w:left="567" w:hanging="283"/>
        <w:contextualSpacing/>
        <w:jc w:val="both"/>
        <w:rPr>
          <w:rFonts w:ascii="Century Gothic" w:hAnsi="Century Gothic"/>
          <w:sz w:val="22"/>
          <w:szCs w:val="22"/>
        </w:rPr>
      </w:pPr>
      <w:r w:rsidRPr="00450848">
        <w:rPr>
          <w:rFonts w:ascii="Century Gothic" w:hAnsi="Century Gothic"/>
          <w:sz w:val="22"/>
          <w:szCs w:val="22"/>
        </w:rPr>
        <w:t xml:space="preserve">Good practices and recommendations to prevent future deaths and promote the welfare of children are shared and appropriate action taken through updates, alerts, newsletters and campaigns. </w:t>
      </w:r>
    </w:p>
    <w:p w14:paraId="47018FFE" w14:textId="4DC3A713" w:rsidR="000B61BB" w:rsidRPr="00450848" w:rsidRDefault="00253FDF" w:rsidP="0098750C">
      <w:pPr>
        <w:pStyle w:val="ListParagraph"/>
        <w:numPr>
          <w:ilvl w:val="0"/>
          <w:numId w:val="10"/>
        </w:numPr>
        <w:ind w:left="567" w:hanging="283"/>
        <w:contextualSpacing/>
        <w:jc w:val="both"/>
        <w:rPr>
          <w:rFonts w:ascii="Century Gothic" w:hAnsi="Century Gothic"/>
          <w:sz w:val="22"/>
          <w:szCs w:val="22"/>
        </w:rPr>
      </w:pPr>
      <w:r w:rsidRPr="00450848">
        <w:rPr>
          <w:rFonts w:ascii="Century Gothic" w:hAnsi="Century Gothic"/>
          <w:sz w:val="22"/>
          <w:szCs w:val="22"/>
        </w:rPr>
        <w:t xml:space="preserve">The CDOP is responsible for developing a business plan and annual report.  The annual report will give a strategic overview of the work of the CDOP, and where differences and adjustments to practice / service have improved the lives and experience for families, led to reductions of serious injuries and death etc.  </w:t>
      </w:r>
      <w:r w:rsidRPr="00450848">
        <w:rPr>
          <w:rFonts w:ascii="Century Gothic" w:eastAsia="ヒラギノ角ゴ Pro W3" w:hAnsi="Century Gothic"/>
          <w:sz w:val="22"/>
          <w:szCs w:val="22"/>
        </w:rPr>
        <w:t xml:space="preserve">Modifiable factors and learning from reviews informs CDOP future work and milestones for CDOP. Our communications plan for the following year will be developed from our findings, </w:t>
      </w:r>
      <w:r w:rsidR="00F5136F" w:rsidRPr="00450848">
        <w:rPr>
          <w:rFonts w:ascii="Century Gothic" w:eastAsia="ヒラギノ角ゴ Pro W3" w:hAnsi="Century Gothic"/>
          <w:sz w:val="22"/>
          <w:szCs w:val="22"/>
        </w:rPr>
        <w:t xml:space="preserve">as well as from </w:t>
      </w:r>
      <w:r w:rsidRPr="00450848">
        <w:rPr>
          <w:rFonts w:ascii="Century Gothic" w:eastAsia="ヒラギノ角ゴ Pro W3" w:hAnsi="Century Gothic"/>
          <w:sz w:val="22"/>
          <w:szCs w:val="22"/>
        </w:rPr>
        <w:t xml:space="preserve">updates and alerts regionally and nationally. </w:t>
      </w:r>
    </w:p>
    <w:p w14:paraId="5DECE503" w14:textId="0CC9A831" w:rsidR="000B61BB" w:rsidRPr="00450848" w:rsidRDefault="0098750C" w:rsidP="000B61BB">
      <w:pPr>
        <w:pStyle w:val="ListParagraph"/>
        <w:numPr>
          <w:ilvl w:val="0"/>
          <w:numId w:val="10"/>
        </w:numPr>
        <w:ind w:left="567" w:hanging="283"/>
        <w:contextualSpacing/>
        <w:jc w:val="both"/>
        <w:rPr>
          <w:rFonts w:ascii="Century Gothic" w:hAnsi="Century Gothic"/>
          <w:sz w:val="22"/>
          <w:szCs w:val="22"/>
        </w:rPr>
      </w:pPr>
      <w:r w:rsidRPr="00450848">
        <w:rPr>
          <w:rFonts w:ascii="Century Gothic" w:hAnsi="Century Gothic"/>
        </w:rPr>
        <w:t>CDOP members are responsible for disseminating the lessons to their relevant organisation</w:t>
      </w:r>
      <w:r w:rsidR="00253FDF" w:rsidRPr="00450848">
        <w:rPr>
          <w:rFonts w:ascii="Century Gothic" w:hAnsi="Century Gothic" w:cs="Calibri"/>
          <w:sz w:val="22"/>
          <w:szCs w:val="22"/>
        </w:rPr>
        <w:t xml:space="preserve">, ensuring that relevant findings inform the strategic plans of both local authorities and acting on any recommendations to improve policy, professional practice and inter-agency working to safeguard and promote the welfare of children.  </w:t>
      </w:r>
    </w:p>
    <w:p w14:paraId="15A0E9C8" w14:textId="3FF99008" w:rsidR="00EE3ABF" w:rsidRPr="00450848" w:rsidRDefault="00253FDF" w:rsidP="000B61BB">
      <w:pPr>
        <w:pStyle w:val="ListParagraph"/>
        <w:numPr>
          <w:ilvl w:val="0"/>
          <w:numId w:val="10"/>
        </w:numPr>
        <w:ind w:left="567" w:hanging="283"/>
        <w:contextualSpacing/>
        <w:jc w:val="both"/>
        <w:rPr>
          <w:rFonts w:ascii="Century Gothic" w:hAnsi="Century Gothic"/>
          <w:sz w:val="22"/>
          <w:szCs w:val="22"/>
        </w:rPr>
      </w:pPr>
      <w:r w:rsidRPr="00450848">
        <w:rPr>
          <w:rFonts w:ascii="Century Gothic" w:hAnsi="Century Gothic" w:cs="Arial"/>
          <w:color w:val="212529"/>
          <w:sz w:val="22"/>
          <w:szCs w:val="22"/>
          <w:lang w:val="en"/>
        </w:rPr>
        <w:t>Child death review partners will agree locally how the child death review process will be funded in their area</w:t>
      </w:r>
      <w:r w:rsidR="00544526" w:rsidRPr="00450848">
        <w:rPr>
          <w:rFonts w:ascii="Century Gothic" w:hAnsi="Century Gothic" w:cs="Arial"/>
          <w:color w:val="212529"/>
          <w:sz w:val="22"/>
          <w:szCs w:val="22"/>
          <w:lang w:val="en"/>
        </w:rPr>
        <w:t>.</w:t>
      </w:r>
    </w:p>
    <w:p w14:paraId="799AF610" w14:textId="1EB310E0" w:rsidR="00746306" w:rsidRPr="00450848" w:rsidRDefault="00746306" w:rsidP="000B61BB">
      <w:pPr>
        <w:jc w:val="both"/>
        <w:rPr>
          <w:rFonts w:ascii="Century Gothic" w:hAnsi="Century Gothic" w:cs="Calibri"/>
          <w:sz w:val="22"/>
          <w:szCs w:val="22"/>
        </w:rPr>
      </w:pPr>
    </w:p>
    <w:p w14:paraId="0FFACF35" w14:textId="73025ED1" w:rsidR="00746306" w:rsidRPr="00450848" w:rsidRDefault="00746306" w:rsidP="00746306">
      <w:pPr>
        <w:autoSpaceDE w:val="0"/>
        <w:autoSpaceDN w:val="0"/>
        <w:adjustRightInd w:val="0"/>
        <w:jc w:val="both"/>
        <w:rPr>
          <w:rFonts w:ascii="Century Gothic" w:hAnsi="Century Gothic" w:cs="Calibri"/>
          <w:b/>
          <w:color w:val="33CCFF"/>
          <w:sz w:val="22"/>
          <w:szCs w:val="22"/>
          <w:u w:val="single"/>
        </w:rPr>
      </w:pPr>
      <w:r w:rsidRPr="00450848">
        <w:rPr>
          <w:rFonts w:ascii="Century Gothic" w:hAnsi="Century Gothic" w:cs="Calibri"/>
          <w:b/>
          <w:color w:val="33CCFF"/>
          <w:sz w:val="22"/>
          <w:szCs w:val="22"/>
          <w:u w:val="single"/>
        </w:rPr>
        <w:t xml:space="preserve">FUNCTIONS </w:t>
      </w:r>
    </w:p>
    <w:p w14:paraId="2A9A68C7" w14:textId="34ABC669" w:rsidR="00746306" w:rsidRPr="00450848" w:rsidRDefault="00746306" w:rsidP="004C68CF">
      <w:pPr>
        <w:pStyle w:val="Default"/>
        <w:numPr>
          <w:ilvl w:val="0"/>
          <w:numId w:val="19"/>
        </w:numPr>
        <w:spacing w:after="74"/>
        <w:jc w:val="both"/>
        <w:rPr>
          <w:rFonts w:ascii="Century Gothic" w:hAnsi="Century Gothic"/>
          <w:sz w:val="22"/>
          <w:szCs w:val="22"/>
        </w:rPr>
      </w:pPr>
      <w:r w:rsidRPr="00450848">
        <w:rPr>
          <w:rFonts w:ascii="Century Gothic" w:hAnsi="Century Gothic"/>
          <w:sz w:val="22"/>
          <w:szCs w:val="22"/>
        </w:rPr>
        <w:t xml:space="preserve">to collect and collate information about each child death, seeking relevant information from professionals and, where appropriate, family members; </w:t>
      </w:r>
    </w:p>
    <w:p w14:paraId="6C586BC6" w14:textId="77777777" w:rsidR="00C52A1F" w:rsidRPr="00450848" w:rsidRDefault="00C52A1F" w:rsidP="00C52A1F">
      <w:pPr>
        <w:pStyle w:val="Default"/>
        <w:numPr>
          <w:ilvl w:val="0"/>
          <w:numId w:val="19"/>
        </w:numPr>
        <w:spacing w:after="74"/>
        <w:jc w:val="both"/>
        <w:rPr>
          <w:rFonts w:ascii="Century Gothic" w:hAnsi="Century Gothic"/>
          <w:sz w:val="22"/>
          <w:szCs w:val="22"/>
        </w:rPr>
      </w:pPr>
      <w:r w:rsidRPr="00450848">
        <w:rPr>
          <w:rFonts w:ascii="Century Gothic" w:hAnsi="Century Gothic"/>
          <w:sz w:val="22"/>
          <w:szCs w:val="22"/>
        </w:rPr>
        <w:t xml:space="preserve">Ensuring effective multi-agency reviews of sudden deaths and processes in a timely and effective manner to ensure the cause of death is determined as accurately as possible, modifiable factors identified and any lessons are learned and shared. </w:t>
      </w:r>
    </w:p>
    <w:p w14:paraId="172B8165" w14:textId="77777777" w:rsidR="00C52A1F" w:rsidRPr="00450848" w:rsidRDefault="00C52A1F" w:rsidP="00C52A1F">
      <w:pPr>
        <w:pStyle w:val="Default"/>
        <w:numPr>
          <w:ilvl w:val="0"/>
          <w:numId w:val="19"/>
        </w:numPr>
        <w:spacing w:after="74"/>
        <w:jc w:val="both"/>
        <w:rPr>
          <w:rFonts w:ascii="Century Gothic" w:hAnsi="Century Gothic"/>
          <w:sz w:val="22"/>
          <w:szCs w:val="22"/>
        </w:rPr>
      </w:pPr>
      <w:r w:rsidRPr="00450848">
        <w:rPr>
          <w:rFonts w:ascii="Century Gothic" w:hAnsi="Century Gothic"/>
          <w:sz w:val="22"/>
          <w:szCs w:val="22"/>
        </w:rPr>
        <w:t xml:space="preserve">Ensuring mortality reviews take place for all child deaths, including within specialist areas such as NICU, palliative care and neurodisability. </w:t>
      </w:r>
    </w:p>
    <w:p w14:paraId="00B26D65" w14:textId="245D6A1B" w:rsidR="00746306" w:rsidRPr="00450848" w:rsidRDefault="00746306" w:rsidP="004C68CF">
      <w:pPr>
        <w:pStyle w:val="Default"/>
        <w:numPr>
          <w:ilvl w:val="0"/>
          <w:numId w:val="19"/>
        </w:numPr>
        <w:spacing w:after="74"/>
        <w:jc w:val="both"/>
        <w:rPr>
          <w:rFonts w:ascii="Century Gothic" w:hAnsi="Century Gothic"/>
          <w:sz w:val="22"/>
          <w:szCs w:val="22"/>
        </w:rPr>
      </w:pPr>
      <w:r w:rsidRPr="00450848">
        <w:rPr>
          <w:rFonts w:ascii="Century Gothic" w:hAnsi="Century Gothic"/>
          <w:sz w:val="22"/>
          <w:szCs w:val="22"/>
        </w:rPr>
        <w:t xml:space="preserve">to analyse the information obtained, including the report from the </w:t>
      </w:r>
      <w:r w:rsidR="00C17AD3" w:rsidRPr="00450848">
        <w:rPr>
          <w:rFonts w:ascii="Century Gothic" w:hAnsi="Century Gothic" w:cs="Calibri"/>
          <w:sz w:val="22"/>
          <w:szCs w:val="22"/>
        </w:rPr>
        <w:t>Child Death Review  Meeting (</w:t>
      </w:r>
      <w:r w:rsidRPr="00450848">
        <w:rPr>
          <w:rFonts w:ascii="Century Gothic" w:hAnsi="Century Gothic"/>
          <w:sz w:val="22"/>
          <w:szCs w:val="22"/>
        </w:rPr>
        <w:t>CDRM</w:t>
      </w:r>
      <w:r w:rsidR="00C17AD3" w:rsidRPr="00450848">
        <w:rPr>
          <w:rFonts w:ascii="Century Gothic" w:hAnsi="Century Gothic"/>
          <w:sz w:val="22"/>
          <w:szCs w:val="22"/>
        </w:rPr>
        <w:t>)</w:t>
      </w:r>
      <w:r w:rsidRPr="00450848">
        <w:rPr>
          <w:rFonts w:ascii="Century Gothic" w:hAnsi="Century Gothic"/>
          <w:sz w:val="22"/>
          <w:szCs w:val="22"/>
        </w:rPr>
        <w:t xml:space="preserve">, in order to confirm or clarify the cause of death, to determine any contributory factors, and to identify learning arising from the child death review process that may prevent future child deaths; </w:t>
      </w:r>
    </w:p>
    <w:p w14:paraId="581B59A9" w14:textId="353787FD" w:rsidR="00746306" w:rsidRPr="00450848" w:rsidRDefault="00746306" w:rsidP="004C68CF">
      <w:pPr>
        <w:pStyle w:val="Default"/>
        <w:numPr>
          <w:ilvl w:val="0"/>
          <w:numId w:val="19"/>
        </w:numPr>
        <w:spacing w:after="74"/>
        <w:jc w:val="both"/>
        <w:rPr>
          <w:rFonts w:ascii="Century Gothic" w:hAnsi="Century Gothic"/>
          <w:sz w:val="22"/>
          <w:szCs w:val="22"/>
        </w:rPr>
      </w:pPr>
      <w:r w:rsidRPr="00450848">
        <w:rPr>
          <w:rFonts w:ascii="Century Gothic" w:hAnsi="Century Gothic"/>
          <w:sz w:val="22"/>
          <w:szCs w:val="22"/>
        </w:rPr>
        <w:t xml:space="preserve">to make recommendations to all relevant organisations where actions have been identified which may prevent future child deaths or promote the health, safety and wellbeing of children; </w:t>
      </w:r>
    </w:p>
    <w:p w14:paraId="2C4B9B6A" w14:textId="7993325C" w:rsidR="00746306" w:rsidRPr="00450848" w:rsidRDefault="00746306" w:rsidP="004C68CF">
      <w:pPr>
        <w:pStyle w:val="Default"/>
        <w:numPr>
          <w:ilvl w:val="0"/>
          <w:numId w:val="21"/>
        </w:numPr>
        <w:spacing w:after="74"/>
        <w:jc w:val="both"/>
        <w:rPr>
          <w:rFonts w:ascii="Century Gothic" w:hAnsi="Century Gothic"/>
          <w:sz w:val="22"/>
          <w:szCs w:val="22"/>
        </w:rPr>
      </w:pPr>
      <w:r w:rsidRPr="00450848">
        <w:rPr>
          <w:rFonts w:ascii="Century Gothic" w:hAnsi="Century Gothic"/>
          <w:sz w:val="22"/>
          <w:szCs w:val="22"/>
        </w:rPr>
        <w:t xml:space="preserve">to notify the Child Safeguarding Practice Review Panel and local Safeguarding Partners when it suspects that a child may have been abused or neglected; </w:t>
      </w:r>
    </w:p>
    <w:p w14:paraId="6B95E97A" w14:textId="46AAF74E" w:rsidR="00746306" w:rsidRPr="00450848" w:rsidRDefault="00746306" w:rsidP="004C68CF">
      <w:pPr>
        <w:pStyle w:val="Default"/>
        <w:numPr>
          <w:ilvl w:val="0"/>
          <w:numId w:val="21"/>
        </w:numPr>
        <w:spacing w:after="74"/>
        <w:jc w:val="both"/>
        <w:rPr>
          <w:rFonts w:ascii="Century Gothic" w:hAnsi="Century Gothic"/>
          <w:sz w:val="22"/>
          <w:szCs w:val="22"/>
        </w:rPr>
      </w:pPr>
      <w:r w:rsidRPr="00450848">
        <w:rPr>
          <w:rFonts w:ascii="Century Gothic" w:hAnsi="Century Gothic"/>
          <w:sz w:val="22"/>
          <w:szCs w:val="22"/>
        </w:rPr>
        <w:t xml:space="preserve">to provide specified data </w:t>
      </w:r>
      <w:r w:rsidR="00CD50CE" w:rsidRPr="00450848">
        <w:rPr>
          <w:rFonts w:ascii="Century Gothic" w:hAnsi="Century Gothic"/>
          <w:sz w:val="22"/>
          <w:szCs w:val="22"/>
        </w:rPr>
        <w:t>to</w:t>
      </w:r>
      <w:r w:rsidRPr="00450848">
        <w:rPr>
          <w:rFonts w:ascii="Century Gothic" w:hAnsi="Century Gothic"/>
          <w:sz w:val="22"/>
          <w:szCs w:val="22"/>
        </w:rPr>
        <w:t xml:space="preserve"> the National Child Mortality Database; </w:t>
      </w:r>
    </w:p>
    <w:p w14:paraId="712AE175" w14:textId="3F36F86D" w:rsidR="00746306" w:rsidRPr="00450848" w:rsidRDefault="00746306" w:rsidP="004C68CF">
      <w:pPr>
        <w:pStyle w:val="Default"/>
        <w:numPr>
          <w:ilvl w:val="0"/>
          <w:numId w:val="21"/>
        </w:numPr>
        <w:spacing w:after="74"/>
        <w:jc w:val="both"/>
        <w:rPr>
          <w:rFonts w:ascii="Century Gothic" w:hAnsi="Century Gothic"/>
          <w:sz w:val="22"/>
          <w:szCs w:val="22"/>
        </w:rPr>
      </w:pPr>
      <w:r w:rsidRPr="00450848">
        <w:rPr>
          <w:rFonts w:ascii="Century Gothic" w:hAnsi="Century Gothic"/>
          <w:sz w:val="22"/>
          <w:szCs w:val="22"/>
        </w:rPr>
        <w:lastRenderedPageBreak/>
        <w:t xml:space="preserve">to produce an annual report for </w:t>
      </w:r>
      <w:r w:rsidR="00C17AD3" w:rsidRPr="00450848">
        <w:rPr>
          <w:rFonts w:ascii="Century Gothic" w:hAnsi="Century Gothic" w:cs="Calibri"/>
          <w:sz w:val="22"/>
          <w:szCs w:val="22"/>
        </w:rPr>
        <w:t>Child Death Review (</w:t>
      </w:r>
      <w:r w:rsidRPr="00450848">
        <w:rPr>
          <w:rFonts w:ascii="Century Gothic" w:hAnsi="Century Gothic"/>
          <w:sz w:val="22"/>
          <w:szCs w:val="22"/>
        </w:rPr>
        <w:t>CDR</w:t>
      </w:r>
      <w:r w:rsidR="00C17AD3" w:rsidRPr="00450848">
        <w:rPr>
          <w:rFonts w:ascii="Century Gothic" w:hAnsi="Century Gothic"/>
          <w:sz w:val="22"/>
          <w:szCs w:val="22"/>
        </w:rPr>
        <w:t>)</w:t>
      </w:r>
      <w:r w:rsidRPr="00450848">
        <w:rPr>
          <w:rFonts w:ascii="Century Gothic" w:hAnsi="Century Gothic"/>
          <w:sz w:val="22"/>
          <w:szCs w:val="22"/>
        </w:rPr>
        <w:t xml:space="preserve"> partners on local patterns and trends in child deaths, any lessons learnt and actions taken, and the effectiveness of the wider child death review process; and </w:t>
      </w:r>
    </w:p>
    <w:p w14:paraId="5C9C2081" w14:textId="420BDE5A" w:rsidR="00746306" w:rsidRPr="00450848" w:rsidRDefault="00746306" w:rsidP="008C2D5B">
      <w:pPr>
        <w:pStyle w:val="Default"/>
        <w:numPr>
          <w:ilvl w:val="0"/>
          <w:numId w:val="21"/>
        </w:numPr>
        <w:rPr>
          <w:rFonts w:ascii="Century Gothic" w:hAnsi="Century Gothic"/>
          <w:sz w:val="22"/>
          <w:szCs w:val="22"/>
        </w:rPr>
      </w:pPr>
      <w:r w:rsidRPr="00450848">
        <w:rPr>
          <w:rFonts w:ascii="Century Gothic" w:hAnsi="Century Gothic"/>
          <w:sz w:val="22"/>
          <w:szCs w:val="22"/>
        </w:rPr>
        <w:t xml:space="preserve">to contribute to local, regional and national initiatives to improve learning from child death reviews, including, where appropriate, approved research carried out within the requirements of data protection. </w:t>
      </w:r>
    </w:p>
    <w:p w14:paraId="72B1C767" w14:textId="77777777" w:rsidR="00015E8E" w:rsidRPr="00450848" w:rsidRDefault="00015E8E" w:rsidP="00CC1DD0">
      <w:pPr>
        <w:autoSpaceDE w:val="0"/>
        <w:autoSpaceDN w:val="0"/>
        <w:adjustRightInd w:val="0"/>
        <w:jc w:val="both"/>
        <w:rPr>
          <w:rFonts w:ascii="Century Gothic" w:hAnsi="Century Gothic" w:cs="Calibri"/>
          <w:sz w:val="22"/>
          <w:szCs w:val="22"/>
        </w:rPr>
      </w:pPr>
    </w:p>
    <w:p w14:paraId="293BBC45" w14:textId="77777777" w:rsidR="00015E8E" w:rsidRPr="00450848" w:rsidRDefault="00015E8E" w:rsidP="00015E8E">
      <w:pPr>
        <w:autoSpaceDE w:val="0"/>
        <w:autoSpaceDN w:val="0"/>
        <w:adjustRightInd w:val="0"/>
        <w:ind w:left="284" w:hanging="284"/>
        <w:jc w:val="both"/>
        <w:rPr>
          <w:rFonts w:ascii="Century Gothic" w:hAnsi="Century Gothic" w:cs="Calibri"/>
          <w:b/>
          <w:color w:val="33CCFF"/>
          <w:sz w:val="22"/>
          <w:szCs w:val="22"/>
          <w:u w:val="single"/>
        </w:rPr>
      </w:pPr>
      <w:r w:rsidRPr="00450848">
        <w:rPr>
          <w:rFonts w:ascii="Century Gothic" w:hAnsi="Century Gothic" w:cs="Calibri"/>
          <w:b/>
          <w:color w:val="33CCFF"/>
          <w:sz w:val="22"/>
          <w:szCs w:val="22"/>
          <w:u w:val="single"/>
        </w:rPr>
        <w:t>RESPONSE</w:t>
      </w:r>
    </w:p>
    <w:p w14:paraId="73B274A9" w14:textId="50A84CD5" w:rsidR="00015E8E" w:rsidRPr="00450848" w:rsidRDefault="00015E8E" w:rsidP="000B61BB">
      <w:pPr>
        <w:numPr>
          <w:ilvl w:val="0"/>
          <w:numId w:val="23"/>
        </w:numPr>
        <w:autoSpaceDE w:val="0"/>
        <w:autoSpaceDN w:val="0"/>
        <w:adjustRightInd w:val="0"/>
        <w:jc w:val="both"/>
        <w:rPr>
          <w:rFonts w:ascii="Century Gothic" w:hAnsi="Century Gothic" w:cs="Calibri"/>
          <w:sz w:val="22"/>
          <w:szCs w:val="22"/>
        </w:rPr>
      </w:pPr>
      <w:r w:rsidRPr="00450848">
        <w:rPr>
          <w:rFonts w:ascii="Century Gothic" w:hAnsi="Century Gothic" w:cs="Calibri"/>
          <w:sz w:val="22"/>
          <w:szCs w:val="22"/>
        </w:rPr>
        <w:t xml:space="preserve">To ensure, in consultation with the local Coroner(s), that local procedures and protocols are developed, implemented and monitored, in line with the guidance in Chapter 5 of </w:t>
      </w:r>
      <w:r w:rsidRPr="00450848">
        <w:rPr>
          <w:rFonts w:ascii="Century Gothic" w:hAnsi="Century Gothic" w:cs="Calibri"/>
          <w:iCs/>
          <w:sz w:val="22"/>
          <w:szCs w:val="22"/>
        </w:rPr>
        <w:t xml:space="preserve">Working Together 2018 </w:t>
      </w:r>
      <w:r w:rsidRPr="00450848">
        <w:rPr>
          <w:rFonts w:ascii="Century Gothic" w:hAnsi="Century Gothic" w:cs="Calibri"/>
          <w:sz w:val="22"/>
          <w:szCs w:val="22"/>
        </w:rPr>
        <w:t xml:space="preserve">on enquiring into unexpected deaths; </w:t>
      </w:r>
      <w:r w:rsidR="00CD50CE" w:rsidRPr="00450848">
        <w:rPr>
          <w:rFonts w:ascii="Century Gothic" w:hAnsi="Century Gothic" w:cs="Calibri"/>
          <w:sz w:val="22"/>
          <w:szCs w:val="22"/>
        </w:rPr>
        <w:t>and Royal College of Paediatrics and Child Health Sudden Unexpected death in infancy and Childhood Multiagency guideline for care and investigation</w:t>
      </w:r>
    </w:p>
    <w:p w14:paraId="22C9B459" w14:textId="38875BA1" w:rsidR="00A8575C" w:rsidRPr="00450848" w:rsidRDefault="00015E8E" w:rsidP="000B61BB">
      <w:pPr>
        <w:numPr>
          <w:ilvl w:val="0"/>
          <w:numId w:val="23"/>
        </w:numPr>
        <w:autoSpaceDE w:val="0"/>
        <w:autoSpaceDN w:val="0"/>
        <w:adjustRightInd w:val="0"/>
        <w:jc w:val="both"/>
        <w:rPr>
          <w:rFonts w:ascii="Century Gothic" w:hAnsi="Century Gothic" w:cs="Calibri"/>
          <w:sz w:val="22"/>
          <w:szCs w:val="22"/>
        </w:rPr>
      </w:pPr>
      <w:r w:rsidRPr="00450848">
        <w:rPr>
          <w:rFonts w:ascii="Century Gothic" w:hAnsi="Century Gothic" w:cs="Calibri"/>
          <w:sz w:val="22"/>
          <w:szCs w:val="22"/>
        </w:rPr>
        <w:t xml:space="preserve">to continue to improve agency responses to </w:t>
      </w:r>
      <w:r w:rsidR="00A33F28" w:rsidRPr="00450848">
        <w:rPr>
          <w:rFonts w:ascii="Century Gothic" w:hAnsi="Century Gothic" w:cs="Calibri"/>
          <w:sz w:val="22"/>
          <w:szCs w:val="22"/>
        </w:rPr>
        <w:t xml:space="preserve">all </w:t>
      </w:r>
      <w:r w:rsidRPr="00450848">
        <w:rPr>
          <w:rFonts w:ascii="Century Gothic" w:hAnsi="Century Gothic" w:cs="Calibri"/>
          <w:sz w:val="22"/>
          <w:szCs w:val="22"/>
        </w:rPr>
        <w:t>child deaths through monitoring the appropriateness of the response of professionals to each unexpected death of a child, reviewing the reports produced and providing the professionals concerned with feedback on their work; ensuring that arrangements are in place, to enable key professionals to come together to undertake enquiries into and evaluating each unexpected death of a child.</w:t>
      </w:r>
    </w:p>
    <w:p w14:paraId="5849BF47" w14:textId="690E4C4E" w:rsidR="00E65F73" w:rsidRPr="00450848" w:rsidRDefault="00E65F73" w:rsidP="000B61BB">
      <w:pPr>
        <w:numPr>
          <w:ilvl w:val="0"/>
          <w:numId w:val="23"/>
        </w:numPr>
        <w:autoSpaceDE w:val="0"/>
        <w:autoSpaceDN w:val="0"/>
        <w:adjustRightInd w:val="0"/>
        <w:jc w:val="both"/>
        <w:rPr>
          <w:rFonts w:ascii="Century Gothic" w:hAnsi="Century Gothic" w:cs="Calibri"/>
          <w:sz w:val="22"/>
          <w:szCs w:val="22"/>
        </w:rPr>
      </w:pPr>
      <w:r w:rsidRPr="00450848">
        <w:rPr>
          <w:rFonts w:ascii="Century Gothic" w:hAnsi="Century Gothic" w:cs="Calibri"/>
          <w:sz w:val="22"/>
          <w:szCs w:val="22"/>
        </w:rPr>
        <w:t xml:space="preserve">Electronic systems are utilised and updated to manage child deaths and share information through eCDOP and the National Child Mortality Database, </w:t>
      </w:r>
    </w:p>
    <w:p w14:paraId="303C0E4A" w14:textId="7054A09B" w:rsidR="00015E8E" w:rsidRPr="00450848" w:rsidRDefault="00015E8E" w:rsidP="000B61BB">
      <w:pPr>
        <w:numPr>
          <w:ilvl w:val="0"/>
          <w:numId w:val="23"/>
        </w:numPr>
        <w:autoSpaceDE w:val="0"/>
        <w:autoSpaceDN w:val="0"/>
        <w:adjustRightInd w:val="0"/>
        <w:jc w:val="both"/>
        <w:rPr>
          <w:rFonts w:ascii="Century Gothic" w:hAnsi="Century Gothic" w:cs="Calibri"/>
          <w:sz w:val="22"/>
          <w:szCs w:val="22"/>
        </w:rPr>
      </w:pPr>
      <w:r w:rsidRPr="00450848">
        <w:rPr>
          <w:rFonts w:ascii="Century Gothic" w:hAnsi="Century Gothic" w:cs="Calibri"/>
          <w:sz w:val="22"/>
          <w:szCs w:val="22"/>
        </w:rPr>
        <w:t xml:space="preserve">Where concerns of a criminal and/or child protection nature are identified, to ensure that the police and Coroner are aware and to inform them of any specific new information that may influence their inquiries; to notify the </w:t>
      </w:r>
      <w:r w:rsidR="001817A6" w:rsidRPr="00450848">
        <w:rPr>
          <w:rFonts w:ascii="Century Gothic" w:hAnsi="Century Gothic" w:cs="Calibri"/>
          <w:sz w:val="22"/>
          <w:szCs w:val="22"/>
        </w:rPr>
        <w:t>SSSCB of a possible</w:t>
      </w:r>
      <w:r w:rsidRPr="00450848">
        <w:rPr>
          <w:rFonts w:ascii="Century Gothic" w:hAnsi="Century Gothic" w:cs="Calibri"/>
          <w:sz w:val="22"/>
          <w:szCs w:val="22"/>
        </w:rPr>
        <w:t xml:space="preserve"> a </w:t>
      </w:r>
      <w:r w:rsidR="001817A6" w:rsidRPr="00450848">
        <w:rPr>
          <w:rFonts w:ascii="Century Gothic" w:hAnsi="Century Gothic" w:cs="Calibri"/>
          <w:sz w:val="22"/>
          <w:szCs w:val="22"/>
        </w:rPr>
        <w:t xml:space="preserve">learning review </w:t>
      </w:r>
      <w:r w:rsidRPr="00450848">
        <w:rPr>
          <w:rFonts w:ascii="Century Gothic" w:hAnsi="Century Gothic" w:cs="Calibri"/>
          <w:sz w:val="22"/>
          <w:szCs w:val="22"/>
        </w:rPr>
        <w:t>; to inform Children’s Social Care of the need for further enquiries under section 47 of the Children Act 1989;</w:t>
      </w:r>
    </w:p>
    <w:p w14:paraId="4F32311F" w14:textId="77777777" w:rsidR="00015E8E" w:rsidRPr="00450848" w:rsidRDefault="00015E8E" w:rsidP="00015E8E">
      <w:pPr>
        <w:autoSpaceDE w:val="0"/>
        <w:autoSpaceDN w:val="0"/>
        <w:adjustRightInd w:val="0"/>
        <w:jc w:val="both"/>
        <w:rPr>
          <w:rFonts w:ascii="Century Gothic" w:hAnsi="Century Gothic" w:cs="Calibri"/>
          <w:sz w:val="22"/>
          <w:szCs w:val="22"/>
        </w:rPr>
      </w:pPr>
    </w:p>
    <w:p w14:paraId="333CF725" w14:textId="3DEF4C43" w:rsidR="00015E8E" w:rsidRPr="00450848" w:rsidRDefault="00CC1DD0" w:rsidP="000B61BB">
      <w:pPr>
        <w:pStyle w:val="ListParagraph"/>
        <w:autoSpaceDE w:val="0"/>
        <w:autoSpaceDN w:val="0"/>
        <w:adjustRightInd w:val="0"/>
        <w:ind w:left="0"/>
        <w:jc w:val="both"/>
        <w:rPr>
          <w:rFonts w:ascii="Century Gothic" w:hAnsi="Century Gothic" w:cs="Calibri"/>
          <w:b/>
          <w:color w:val="33CCFF"/>
          <w:sz w:val="22"/>
          <w:szCs w:val="22"/>
          <w:u w:val="single"/>
        </w:rPr>
      </w:pPr>
      <w:r w:rsidRPr="00450848">
        <w:rPr>
          <w:rFonts w:ascii="Century Gothic" w:hAnsi="Century Gothic" w:cs="Calibri"/>
          <w:b/>
          <w:color w:val="33CCFF"/>
          <w:sz w:val="22"/>
          <w:szCs w:val="22"/>
          <w:u w:val="single"/>
        </w:rPr>
        <w:t>PARENTS AND CARERS</w:t>
      </w:r>
    </w:p>
    <w:p w14:paraId="4DC0150A" w14:textId="77777777" w:rsidR="008C2D5B" w:rsidRPr="00450848" w:rsidRDefault="00231406" w:rsidP="000B61BB">
      <w:pPr>
        <w:pStyle w:val="NoSpacing"/>
        <w:numPr>
          <w:ilvl w:val="0"/>
          <w:numId w:val="24"/>
        </w:numPr>
        <w:jc w:val="both"/>
        <w:rPr>
          <w:rFonts w:ascii="Century Gothic" w:hAnsi="Century Gothic" w:cs="Calibri"/>
        </w:rPr>
      </w:pPr>
      <w:r w:rsidRPr="00450848">
        <w:rPr>
          <w:rFonts w:ascii="Century Gothic" w:hAnsi="Century Gothic" w:cs="Calibri"/>
        </w:rPr>
        <w:t>P</w:t>
      </w:r>
      <w:r w:rsidR="00CC1DD0" w:rsidRPr="00450848">
        <w:rPr>
          <w:rFonts w:ascii="Century Gothic" w:hAnsi="Century Gothic" w:cs="Calibri"/>
        </w:rPr>
        <w:t xml:space="preserve">arents and family members are </w:t>
      </w:r>
      <w:r w:rsidR="008C2D5B" w:rsidRPr="00450848">
        <w:rPr>
          <w:rFonts w:ascii="Century Gothic" w:hAnsi="Century Gothic" w:cs="Calibri"/>
        </w:rPr>
        <w:t xml:space="preserve">invited to be </w:t>
      </w:r>
      <w:r w:rsidR="00CC1DD0" w:rsidRPr="00450848">
        <w:rPr>
          <w:rFonts w:ascii="Century Gothic" w:hAnsi="Century Gothic" w:cs="Calibri"/>
        </w:rPr>
        <w:t xml:space="preserve">appropriately involved in the </w:t>
      </w:r>
      <w:r w:rsidR="00315F0C" w:rsidRPr="00450848">
        <w:rPr>
          <w:rFonts w:ascii="Century Gothic" w:hAnsi="Century Gothic" w:cs="Calibri"/>
        </w:rPr>
        <w:t xml:space="preserve">child death review </w:t>
      </w:r>
      <w:r w:rsidR="00BB1FAE" w:rsidRPr="00450848">
        <w:rPr>
          <w:rFonts w:ascii="Century Gothic" w:hAnsi="Century Gothic" w:cs="Calibri"/>
        </w:rPr>
        <w:t xml:space="preserve">process. </w:t>
      </w:r>
      <w:r w:rsidR="008C2D5B" w:rsidRPr="00450848">
        <w:rPr>
          <w:rFonts w:ascii="Century Gothic" w:hAnsi="Century Gothic" w:cs="Calibri"/>
        </w:rPr>
        <w:t xml:space="preserve"> </w:t>
      </w:r>
    </w:p>
    <w:p w14:paraId="16F0E4BA" w14:textId="7D28F899" w:rsidR="008C2D5B" w:rsidRPr="00450848" w:rsidRDefault="008C2D5B" w:rsidP="008C2D5B">
      <w:pPr>
        <w:pStyle w:val="NoSpacing"/>
        <w:numPr>
          <w:ilvl w:val="0"/>
          <w:numId w:val="24"/>
        </w:numPr>
        <w:jc w:val="both"/>
        <w:rPr>
          <w:rFonts w:ascii="Century Gothic" w:hAnsi="Century Gothic" w:cs="Calibri"/>
        </w:rPr>
      </w:pPr>
      <w:r w:rsidRPr="00450848">
        <w:rPr>
          <w:rFonts w:ascii="Century Gothic" w:hAnsi="Century Gothic"/>
        </w:rPr>
        <w:t xml:space="preserve">Parents/ carers should be allocated a ‘Key worker’ who will be the main contact throughout the review process. This could be a professional from various agencies or organisations. The role holder should be reliable and accessible and are responsible for communicating information, coordinating any meetings between the family and professionals, act as advocate for the family and sign post the family to bereavement support.  </w:t>
      </w:r>
      <w:r w:rsidRPr="00450848">
        <w:rPr>
          <w:rFonts w:ascii="Century Gothic" w:hAnsi="Century Gothic" w:cs="Calibri"/>
        </w:rPr>
        <w:t xml:space="preserve">CDOP have a role in ensuring support is available locally or elsewhere as needed for families. </w:t>
      </w:r>
    </w:p>
    <w:p w14:paraId="0F23EC64" w14:textId="1FD9A146" w:rsidR="00CC1DD0" w:rsidRPr="00450848" w:rsidRDefault="00CC1DD0" w:rsidP="000B61BB">
      <w:pPr>
        <w:pStyle w:val="NoSpacing"/>
        <w:numPr>
          <w:ilvl w:val="0"/>
          <w:numId w:val="24"/>
        </w:numPr>
        <w:jc w:val="both"/>
        <w:rPr>
          <w:rFonts w:ascii="Century Gothic" w:hAnsi="Century Gothic" w:cs="Calibri"/>
        </w:rPr>
      </w:pPr>
      <w:r w:rsidRPr="00450848">
        <w:rPr>
          <w:rFonts w:ascii="Century Gothic" w:hAnsi="Century Gothic" w:cs="Calibri"/>
        </w:rPr>
        <w:t xml:space="preserve">Parents </w:t>
      </w:r>
      <w:r w:rsidR="00253FDF" w:rsidRPr="00450848">
        <w:rPr>
          <w:rFonts w:ascii="Century Gothic" w:hAnsi="Century Gothic" w:cs="Calibri"/>
        </w:rPr>
        <w:t>are</w:t>
      </w:r>
      <w:r w:rsidRPr="00450848">
        <w:rPr>
          <w:rFonts w:ascii="Century Gothic" w:hAnsi="Century Gothic" w:cs="Calibri"/>
        </w:rPr>
        <w:t xml:space="preserve"> encouraged to contribute any comments or questions they might have to th</w:t>
      </w:r>
      <w:r w:rsidR="00602D68" w:rsidRPr="00450848">
        <w:rPr>
          <w:rFonts w:ascii="Century Gothic" w:hAnsi="Century Gothic" w:cs="Calibri"/>
        </w:rPr>
        <w:t xml:space="preserve">e review of their child’s death and should be assured by their key worker that any information concerning their childs death which they believe might inform the review would be welcome and can be submitted to CDOP. </w:t>
      </w:r>
    </w:p>
    <w:p w14:paraId="27D601DA" w14:textId="1F1FC528" w:rsidR="008C2D5B" w:rsidRPr="00450848" w:rsidRDefault="008C2D5B" w:rsidP="008C2D5B">
      <w:pPr>
        <w:pStyle w:val="NoSpacing"/>
        <w:numPr>
          <w:ilvl w:val="0"/>
          <w:numId w:val="24"/>
        </w:numPr>
        <w:jc w:val="both"/>
        <w:rPr>
          <w:rFonts w:ascii="Century Gothic" w:hAnsi="Century Gothic"/>
          <w:color w:val="1F497D"/>
        </w:rPr>
      </w:pPr>
      <w:r w:rsidRPr="00450848">
        <w:rPr>
          <w:rFonts w:ascii="Century Gothic" w:hAnsi="Century Gothic"/>
        </w:rPr>
        <w:t xml:space="preserve">Parents and carers will not be invited to attend the panel meeting. Any specific learning or recommendations from the review will be feedback to families on an individual case basis, routine feedback after each review will not be given. </w:t>
      </w:r>
    </w:p>
    <w:p w14:paraId="12822E18" w14:textId="77777777" w:rsidR="00D77103" w:rsidRPr="00450848" w:rsidRDefault="00D77103" w:rsidP="000B61BB">
      <w:pPr>
        <w:pStyle w:val="ListParagraph"/>
        <w:ind w:left="426"/>
        <w:jc w:val="both"/>
        <w:rPr>
          <w:rFonts w:ascii="Century Gothic" w:hAnsi="Century Gothic" w:cs="Calibri"/>
          <w:sz w:val="22"/>
          <w:szCs w:val="22"/>
        </w:rPr>
      </w:pPr>
    </w:p>
    <w:p w14:paraId="540EEBD5" w14:textId="77777777" w:rsidR="00D77103" w:rsidRPr="00450848" w:rsidRDefault="00D77103" w:rsidP="000B61BB">
      <w:pPr>
        <w:autoSpaceDE w:val="0"/>
        <w:autoSpaceDN w:val="0"/>
        <w:adjustRightInd w:val="0"/>
        <w:jc w:val="both"/>
        <w:rPr>
          <w:rFonts w:ascii="Century Gothic" w:hAnsi="Century Gothic" w:cs="Calibri"/>
          <w:b/>
          <w:bCs/>
          <w:color w:val="33CCFF"/>
          <w:sz w:val="22"/>
          <w:szCs w:val="22"/>
          <w:u w:val="single"/>
        </w:rPr>
      </w:pPr>
      <w:r w:rsidRPr="00450848">
        <w:rPr>
          <w:rFonts w:ascii="Century Gothic" w:hAnsi="Century Gothic" w:cs="Calibri"/>
          <w:b/>
          <w:bCs/>
          <w:color w:val="33CCFF"/>
          <w:sz w:val="22"/>
          <w:szCs w:val="22"/>
          <w:u w:val="single"/>
        </w:rPr>
        <w:t>CONFIDENTIALITY AND INFORMATION SHARING</w:t>
      </w:r>
    </w:p>
    <w:p w14:paraId="6C27113A" w14:textId="31CCDD3A" w:rsidR="002F3C16" w:rsidRPr="00450848" w:rsidRDefault="002F3C16" w:rsidP="00CD50CE">
      <w:pPr>
        <w:pStyle w:val="ListParagraph"/>
        <w:numPr>
          <w:ilvl w:val="0"/>
          <w:numId w:val="25"/>
        </w:numPr>
        <w:autoSpaceDE w:val="0"/>
        <w:autoSpaceDN w:val="0"/>
        <w:adjustRightInd w:val="0"/>
        <w:jc w:val="both"/>
        <w:rPr>
          <w:rFonts w:ascii="Century Gothic" w:hAnsi="Century Gothic" w:cs="Calibri"/>
          <w:sz w:val="22"/>
          <w:szCs w:val="22"/>
        </w:rPr>
      </w:pPr>
      <w:r w:rsidRPr="00450848">
        <w:rPr>
          <w:rFonts w:ascii="Century Gothic" w:hAnsi="Century Gothic" w:cs="Calibri"/>
          <w:sz w:val="22"/>
          <w:szCs w:val="22"/>
        </w:rPr>
        <w:t>All panel members, ad-hoc and new members must sign a confidentiality agreement.</w:t>
      </w:r>
    </w:p>
    <w:p w14:paraId="5B7A26C4" w14:textId="0DB5A3B5" w:rsidR="00D77103" w:rsidRPr="00450848" w:rsidRDefault="00D77103" w:rsidP="00CD50CE">
      <w:pPr>
        <w:pStyle w:val="ListParagraph"/>
        <w:numPr>
          <w:ilvl w:val="0"/>
          <w:numId w:val="25"/>
        </w:numPr>
        <w:autoSpaceDE w:val="0"/>
        <w:autoSpaceDN w:val="0"/>
        <w:adjustRightInd w:val="0"/>
        <w:jc w:val="both"/>
        <w:rPr>
          <w:rFonts w:ascii="Century Gothic" w:hAnsi="Century Gothic" w:cs="Calibri"/>
          <w:sz w:val="22"/>
          <w:szCs w:val="22"/>
        </w:rPr>
      </w:pPr>
      <w:r w:rsidRPr="00450848">
        <w:rPr>
          <w:rFonts w:ascii="Century Gothic" w:hAnsi="Century Gothic" w:cs="Calibri"/>
          <w:sz w:val="22"/>
          <w:szCs w:val="22"/>
        </w:rPr>
        <w:t xml:space="preserve">All information discussed at all </w:t>
      </w:r>
      <w:r w:rsidR="00C17AD3" w:rsidRPr="00450848">
        <w:rPr>
          <w:rFonts w:ascii="Century Gothic" w:hAnsi="Century Gothic" w:cs="Calibri"/>
          <w:sz w:val="22"/>
          <w:szCs w:val="22"/>
        </w:rPr>
        <w:t>Joint Agency Response</w:t>
      </w:r>
      <w:r w:rsidR="0013761D" w:rsidRPr="00450848">
        <w:rPr>
          <w:rFonts w:ascii="Century Gothic" w:hAnsi="Century Gothic" w:cs="Calibri"/>
          <w:sz w:val="22"/>
          <w:szCs w:val="22"/>
        </w:rPr>
        <w:t xml:space="preserve"> </w:t>
      </w:r>
      <w:r w:rsidR="00C17AD3" w:rsidRPr="00450848">
        <w:rPr>
          <w:rFonts w:ascii="Century Gothic" w:hAnsi="Century Gothic" w:cs="Calibri"/>
          <w:sz w:val="22"/>
          <w:szCs w:val="22"/>
        </w:rPr>
        <w:t>(JAR)</w:t>
      </w:r>
      <w:r w:rsidR="00CD50CE" w:rsidRPr="00450848">
        <w:rPr>
          <w:rFonts w:ascii="Century Gothic" w:hAnsi="Century Gothic" w:cs="Calibri"/>
          <w:sz w:val="22"/>
          <w:szCs w:val="22"/>
        </w:rPr>
        <w:t xml:space="preserve"> and </w:t>
      </w:r>
      <w:r w:rsidR="00C17AD3" w:rsidRPr="00450848">
        <w:rPr>
          <w:rFonts w:ascii="Century Gothic" w:hAnsi="Century Gothic" w:cs="Calibri"/>
          <w:sz w:val="22"/>
          <w:szCs w:val="22"/>
        </w:rPr>
        <w:t>Child Death Review (</w:t>
      </w:r>
      <w:r w:rsidR="00CD50CE" w:rsidRPr="00450848">
        <w:rPr>
          <w:rFonts w:ascii="Century Gothic" w:hAnsi="Century Gothic" w:cs="Calibri"/>
          <w:sz w:val="22"/>
          <w:szCs w:val="22"/>
        </w:rPr>
        <w:t>CDR</w:t>
      </w:r>
      <w:r w:rsidR="00C17AD3" w:rsidRPr="00450848">
        <w:rPr>
          <w:rFonts w:ascii="Century Gothic" w:hAnsi="Century Gothic" w:cs="Calibri"/>
          <w:sz w:val="22"/>
          <w:szCs w:val="22"/>
        </w:rPr>
        <w:t>)</w:t>
      </w:r>
      <w:r w:rsidRPr="00450848">
        <w:rPr>
          <w:rFonts w:ascii="Century Gothic" w:hAnsi="Century Gothic" w:cs="Calibri"/>
          <w:sz w:val="22"/>
          <w:szCs w:val="22"/>
        </w:rPr>
        <w:t xml:space="preserve"> meetings is strictly confidential. </w:t>
      </w:r>
    </w:p>
    <w:p w14:paraId="272F1394" w14:textId="67CADD02" w:rsidR="00D77103" w:rsidRPr="00450848" w:rsidRDefault="00CD50CE" w:rsidP="00CD50CE">
      <w:pPr>
        <w:pStyle w:val="Default"/>
        <w:numPr>
          <w:ilvl w:val="0"/>
          <w:numId w:val="25"/>
        </w:numPr>
        <w:jc w:val="both"/>
        <w:rPr>
          <w:rFonts w:ascii="Century Gothic" w:hAnsi="Century Gothic" w:cs="Calibri"/>
          <w:sz w:val="22"/>
          <w:szCs w:val="22"/>
        </w:rPr>
      </w:pPr>
      <w:r w:rsidRPr="00450848">
        <w:rPr>
          <w:rFonts w:ascii="Century Gothic" w:hAnsi="Century Gothic"/>
        </w:rPr>
        <w:t xml:space="preserve">The CDOP will </w:t>
      </w:r>
      <w:r w:rsidRPr="00450848">
        <w:rPr>
          <w:rFonts w:ascii="Century Gothic" w:hAnsi="Century Gothic"/>
          <w:sz w:val="23"/>
          <w:szCs w:val="23"/>
        </w:rPr>
        <w:t xml:space="preserve">conduct an anonymised secondary review of each death and identifying details of the child and treating professionals will be redacted. </w:t>
      </w:r>
    </w:p>
    <w:p w14:paraId="68F9861D" w14:textId="5FE1965C" w:rsidR="00463A5B" w:rsidRPr="00450848" w:rsidRDefault="00463A5B" w:rsidP="00463A5B">
      <w:pPr>
        <w:pStyle w:val="ListParagraph"/>
        <w:numPr>
          <w:ilvl w:val="0"/>
          <w:numId w:val="25"/>
        </w:numPr>
        <w:autoSpaceDE w:val="0"/>
        <w:autoSpaceDN w:val="0"/>
        <w:adjustRightInd w:val="0"/>
        <w:jc w:val="both"/>
        <w:rPr>
          <w:rFonts w:ascii="Century Gothic" w:hAnsi="Century Gothic" w:cs="Calibri"/>
          <w:sz w:val="22"/>
          <w:szCs w:val="22"/>
        </w:rPr>
      </w:pPr>
      <w:r w:rsidRPr="00450848">
        <w:rPr>
          <w:rFonts w:ascii="Century Gothic" w:hAnsi="Century Gothic" w:cs="Calibri"/>
          <w:sz w:val="22"/>
          <w:szCs w:val="22"/>
        </w:rPr>
        <w:t>Panel members must declare any conflict of interest at the outset of each meeting and panel members should not lead discussions if they are the named professionals.</w:t>
      </w:r>
    </w:p>
    <w:p w14:paraId="3559326C" w14:textId="77777777" w:rsidR="00463A5B" w:rsidRPr="00450848" w:rsidRDefault="00463A5B" w:rsidP="00463A5B">
      <w:pPr>
        <w:autoSpaceDE w:val="0"/>
        <w:autoSpaceDN w:val="0"/>
        <w:adjustRightInd w:val="0"/>
        <w:jc w:val="both"/>
        <w:rPr>
          <w:rFonts w:ascii="Century Gothic" w:hAnsi="Century Gothic" w:cs="Calibri"/>
          <w:sz w:val="22"/>
          <w:szCs w:val="22"/>
        </w:rPr>
      </w:pPr>
    </w:p>
    <w:p w14:paraId="1F3FBB2E" w14:textId="77777777" w:rsidR="00015E8E" w:rsidRPr="00450848" w:rsidRDefault="00015E8E" w:rsidP="00015E8E">
      <w:pPr>
        <w:autoSpaceDE w:val="0"/>
        <w:autoSpaceDN w:val="0"/>
        <w:adjustRightInd w:val="0"/>
        <w:jc w:val="both"/>
        <w:rPr>
          <w:rFonts w:ascii="Century Gothic" w:hAnsi="Century Gothic" w:cs="Calibri"/>
          <w:b/>
          <w:color w:val="33CCFF"/>
          <w:sz w:val="22"/>
          <w:szCs w:val="22"/>
          <w:u w:val="single"/>
        </w:rPr>
      </w:pPr>
      <w:r w:rsidRPr="00450848">
        <w:rPr>
          <w:rFonts w:ascii="Century Gothic" w:hAnsi="Century Gothic" w:cs="Calibri"/>
          <w:b/>
          <w:color w:val="33CCFF"/>
          <w:sz w:val="22"/>
          <w:szCs w:val="22"/>
          <w:u w:val="single"/>
        </w:rPr>
        <w:t>LEGAL IMPLICATIONS</w:t>
      </w:r>
    </w:p>
    <w:p w14:paraId="3B683165" w14:textId="77777777" w:rsidR="00DA72EC" w:rsidRPr="00450848" w:rsidRDefault="00DA72EC" w:rsidP="000B61BB">
      <w:pPr>
        <w:pStyle w:val="ListParagraph"/>
        <w:numPr>
          <w:ilvl w:val="0"/>
          <w:numId w:val="27"/>
        </w:numPr>
        <w:autoSpaceDE w:val="0"/>
        <w:autoSpaceDN w:val="0"/>
        <w:adjustRightInd w:val="0"/>
        <w:jc w:val="both"/>
        <w:rPr>
          <w:rFonts w:ascii="Century Gothic" w:hAnsi="Century Gothic" w:cs="Calibri"/>
          <w:sz w:val="22"/>
          <w:szCs w:val="22"/>
        </w:rPr>
      </w:pPr>
      <w:r w:rsidRPr="00450848">
        <w:rPr>
          <w:rFonts w:ascii="Century Gothic" w:hAnsi="Century Gothic" w:cs="Calibri"/>
          <w:sz w:val="22"/>
          <w:szCs w:val="22"/>
        </w:rPr>
        <w:t xml:space="preserve">Any single agency information requests should be directed to the specific agency involved and not through CDOP. </w:t>
      </w:r>
    </w:p>
    <w:p w14:paraId="6AFC9C17" w14:textId="77777777" w:rsidR="00015E8E" w:rsidRPr="00450848" w:rsidRDefault="00015E8E" w:rsidP="000B61BB">
      <w:pPr>
        <w:pStyle w:val="ListParagraph"/>
        <w:numPr>
          <w:ilvl w:val="0"/>
          <w:numId w:val="27"/>
        </w:numPr>
        <w:autoSpaceDE w:val="0"/>
        <w:autoSpaceDN w:val="0"/>
        <w:adjustRightInd w:val="0"/>
        <w:jc w:val="both"/>
        <w:rPr>
          <w:rFonts w:ascii="Century Gothic" w:hAnsi="Century Gothic" w:cs="Calibri"/>
          <w:sz w:val="22"/>
          <w:szCs w:val="22"/>
        </w:rPr>
      </w:pPr>
      <w:r w:rsidRPr="00450848">
        <w:rPr>
          <w:rFonts w:ascii="Century Gothic" w:hAnsi="Century Gothic" w:cs="Calibri"/>
          <w:sz w:val="22"/>
          <w:szCs w:val="22"/>
        </w:rPr>
        <w:t>Local Authority Legal Services will be consulted in the event of any specific disclosure issues.</w:t>
      </w:r>
    </w:p>
    <w:p w14:paraId="3876FE99" w14:textId="621D1A86" w:rsidR="00015E8E" w:rsidRPr="00450848" w:rsidRDefault="00015E8E" w:rsidP="000B61BB">
      <w:pPr>
        <w:pStyle w:val="ListParagraph"/>
        <w:numPr>
          <w:ilvl w:val="0"/>
          <w:numId w:val="27"/>
        </w:numPr>
        <w:autoSpaceDE w:val="0"/>
        <w:autoSpaceDN w:val="0"/>
        <w:adjustRightInd w:val="0"/>
        <w:jc w:val="both"/>
        <w:rPr>
          <w:rFonts w:ascii="Century Gothic" w:hAnsi="Century Gothic" w:cs="Calibri"/>
          <w:sz w:val="22"/>
          <w:szCs w:val="22"/>
        </w:rPr>
      </w:pPr>
      <w:r w:rsidRPr="00450848">
        <w:rPr>
          <w:rFonts w:ascii="Century Gothic" w:hAnsi="Century Gothic" w:cs="Calibri"/>
          <w:sz w:val="22"/>
          <w:szCs w:val="22"/>
        </w:rPr>
        <w:t>CDOP documentation is not subject to Freedom of Information requests.</w:t>
      </w:r>
    </w:p>
    <w:sectPr w:rsidR="00015E8E" w:rsidRPr="00450848" w:rsidSect="004C68CF">
      <w:headerReference w:type="even" r:id="rId10"/>
      <w:headerReference w:type="default" r:id="rId11"/>
      <w:footerReference w:type="even" r:id="rId12"/>
      <w:footerReference w:type="default" r:id="rId13"/>
      <w:headerReference w:type="first" r:id="rId14"/>
      <w:footerReference w:type="first" r:id="rId15"/>
      <w:pgSz w:w="11906" w:h="16838"/>
      <w:pgMar w:top="1440" w:right="849" w:bottom="426"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E0CD5" w16cex:dateUtc="2020-09-17T15:27:00Z"/>
  <w16cex:commentExtensible w16cex:durableId="230E0D20" w16cex:dateUtc="2020-09-17T15:28:00Z"/>
  <w16cex:commentExtensible w16cex:durableId="230E0E4F" w16cex:dateUtc="2020-09-17T15:33:00Z"/>
  <w16cex:commentExtensible w16cex:durableId="230E0F56" w16cex:dateUtc="2020-09-17T15: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1E871" w14:textId="77777777" w:rsidR="002C7293" w:rsidRDefault="002C7293" w:rsidP="004C68CF">
      <w:r>
        <w:separator/>
      </w:r>
    </w:p>
  </w:endnote>
  <w:endnote w:type="continuationSeparator" w:id="0">
    <w:p w14:paraId="149EE596" w14:textId="77777777" w:rsidR="002C7293" w:rsidRDefault="002C7293" w:rsidP="004C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FD04" w14:textId="77777777" w:rsidR="00AD33EA" w:rsidRDefault="00AD3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5410"/>
    </w:tblGrid>
    <w:tr w:rsidR="00544526" w:rsidRPr="00544526" w14:paraId="37C31CA5" w14:textId="77777777" w:rsidTr="00544526">
      <w:tc>
        <w:tcPr>
          <w:tcW w:w="4508" w:type="dxa"/>
        </w:tcPr>
        <w:p w14:paraId="0C0652FA" w14:textId="0702D2B1" w:rsidR="00544526" w:rsidRPr="00544526" w:rsidRDefault="00ED5C3E" w:rsidP="00544526">
          <w:pPr>
            <w:autoSpaceDE w:val="0"/>
            <w:autoSpaceDN w:val="0"/>
            <w:adjustRightInd w:val="0"/>
            <w:jc w:val="both"/>
            <w:rPr>
              <w:rFonts w:ascii="Century Gothic" w:hAnsi="Century Gothic" w:cs="Calibri"/>
              <w:b/>
              <w:bCs/>
              <w:color w:val="00B0F0"/>
              <w:sz w:val="18"/>
              <w:szCs w:val="18"/>
            </w:rPr>
          </w:pPr>
          <w:r>
            <w:rPr>
              <w:rFonts w:ascii="Century Gothic" w:hAnsi="Century Gothic" w:cs="Calibri"/>
              <w:b/>
              <w:bCs/>
              <w:color w:val="00B0F0"/>
              <w:sz w:val="18"/>
              <w:szCs w:val="18"/>
            </w:rPr>
            <w:t>Date: September</w:t>
          </w:r>
          <w:r w:rsidR="00544526" w:rsidRPr="00544526">
            <w:rPr>
              <w:rFonts w:ascii="Century Gothic" w:hAnsi="Century Gothic" w:cs="Calibri"/>
              <w:b/>
              <w:bCs/>
              <w:color w:val="00B0F0"/>
              <w:sz w:val="18"/>
              <w:szCs w:val="18"/>
            </w:rPr>
            <w:t xml:space="preserve"> 2020</w:t>
          </w:r>
        </w:p>
      </w:tc>
      <w:tc>
        <w:tcPr>
          <w:tcW w:w="5410" w:type="dxa"/>
        </w:tcPr>
        <w:p w14:paraId="69A9F258" w14:textId="125978B1" w:rsidR="00544526" w:rsidRPr="00544526" w:rsidRDefault="00544526" w:rsidP="00544526">
          <w:pPr>
            <w:autoSpaceDE w:val="0"/>
            <w:autoSpaceDN w:val="0"/>
            <w:adjustRightInd w:val="0"/>
            <w:jc w:val="both"/>
            <w:rPr>
              <w:rFonts w:ascii="Century Gothic" w:hAnsi="Century Gothic" w:cs="Calibri"/>
              <w:b/>
              <w:bCs/>
              <w:color w:val="00B0F0"/>
              <w:sz w:val="18"/>
              <w:szCs w:val="18"/>
            </w:rPr>
          </w:pPr>
        </w:p>
      </w:tc>
    </w:tr>
  </w:tbl>
  <w:p w14:paraId="3FE457AB" w14:textId="5FCE6505" w:rsidR="004C68CF" w:rsidRPr="00544526" w:rsidRDefault="004C68CF" w:rsidP="00544526">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4F67D" w14:textId="77777777" w:rsidR="00AD33EA" w:rsidRDefault="00AD3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10156" w14:textId="77777777" w:rsidR="002C7293" w:rsidRDefault="002C7293" w:rsidP="004C68CF">
      <w:r>
        <w:separator/>
      </w:r>
    </w:p>
  </w:footnote>
  <w:footnote w:type="continuationSeparator" w:id="0">
    <w:p w14:paraId="0100E7C1" w14:textId="77777777" w:rsidR="002C7293" w:rsidRDefault="002C7293" w:rsidP="004C6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8C313" w14:textId="77777777" w:rsidR="00AD33EA" w:rsidRDefault="00AD33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455743"/>
      <w:docPartObj>
        <w:docPartGallery w:val="Page Numbers (Top of Page)"/>
        <w:docPartUnique/>
      </w:docPartObj>
    </w:sdtPr>
    <w:sdtEndPr>
      <w:rPr>
        <w:noProof/>
      </w:rPr>
    </w:sdtEndPr>
    <w:sdtContent>
      <w:p w14:paraId="6132C00F" w14:textId="390EC8FC" w:rsidR="00544526" w:rsidRDefault="00544526">
        <w:pPr>
          <w:pStyle w:val="Header"/>
          <w:jc w:val="right"/>
        </w:pPr>
        <w:r>
          <w:fldChar w:fldCharType="begin"/>
        </w:r>
        <w:r>
          <w:instrText xml:space="preserve"> PAGE   \* MERGEFORMAT </w:instrText>
        </w:r>
        <w:r>
          <w:fldChar w:fldCharType="separate"/>
        </w:r>
        <w:r w:rsidR="0069321C">
          <w:rPr>
            <w:noProof/>
          </w:rPr>
          <w:t>4</w:t>
        </w:r>
        <w:r>
          <w:rPr>
            <w:noProof/>
          </w:rPr>
          <w:fldChar w:fldCharType="end"/>
        </w:r>
      </w:p>
    </w:sdtContent>
  </w:sdt>
  <w:p w14:paraId="6034A882" w14:textId="77777777" w:rsidR="00544526" w:rsidRDefault="00544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2176C" w14:textId="77777777" w:rsidR="00AD33EA" w:rsidRDefault="00AD3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574"/>
    <w:multiLevelType w:val="multilevel"/>
    <w:tmpl w:val="9086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07E72"/>
    <w:multiLevelType w:val="multilevel"/>
    <w:tmpl w:val="8476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417F7"/>
    <w:multiLevelType w:val="hybridMultilevel"/>
    <w:tmpl w:val="1922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2583F"/>
    <w:multiLevelType w:val="hybridMultilevel"/>
    <w:tmpl w:val="4F04E218"/>
    <w:lvl w:ilvl="0" w:tplc="1F30F378">
      <w:start w:val="48"/>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C15F2"/>
    <w:multiLevelType w:val="multilevel"/>
    <w:tmpl w:val="4BA4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C20B5"/>
    <w:multiLevelType w:val="hybridMultilevel"/>
    <w:tmpl w:val="C9D0BE6C"/>
    <w:lvl w:ilvl="0" w:tplc="1F30F378">
      <w:start w:val="48"/>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67695"/>
    <w:multiLevelType w:val="hybridMultilevel"/>
    <w:tmpl w:val="EB14E782"/>
    <w:lvl w:ilvl="0" w:tplc="1F30F378">
      <w:start w:val="48"/>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70CC4"/>
    <w:multiLevelType w:val="multilevel"/>
    <w:tmpl w:val="F19E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FF58B6"/>
    <w:multiLevelType w:val="hybridMultilevel"/>
    <w:tmpl w:val="CCDED504"/>
    <w:lvl w:ilvl="0" w:tplc="55AC3190">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F1526"/>
    <w:multiLevelType w:val="hybridMultilevel"/>
    <w:tmpl w:val="F492273A"/>
    <w:lvl w:ilvl="0" w:tplc="1F30F378">
      <w:start w:val="48"/>
      <w:numFmt w:val="bullet"/>
      <w:lvlText w:val="-"/>
      <w:lvlJc w:val="left"/>
      <w:pPr>
        <w:ind w:left="720" w:hanging="360"/>
      </w:pPr>
      <w:rPr>
        <w:rFonts w:ascii="Calibri" w:eastAsiaTheme="minorHAnsi" w:hAnsi="Calibri"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F218D"/>
    <w:multiLevelType w:val="multilevel"/>
    <w:tmpl w:val="D2F8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7F7DC6"/>
    <w:multiLevelType w:val="hybridMultilevel"/>
    <w:tmpl w:val="10980324"/>
    <w:lvl w:ilvl="0" w:tplc="9E60792C">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A1CEE"/>
    <w:multiLevelType w:val="hybridMultilevel"/>
    <w:tmpl w:val="6590E0CA"/>
    <w:lvl w:ilvl="0" w:tplc="3D8C9AE2">
      <w:start w:val="2"/>
      <w:numFmt w:val="bullet"/>
      <w:lvlText w:val="-"/>
      <w:lvlJc w:val="left"/>
      <w:pPr>
        <w:ind w:left="1069" w:hanging="360"/>
      </w:pPr>
      <w:rPr>
        <w:rFonts w:ascii="Century Gothic" w:eastAsiaTheme="minorHAnsi" w:hAnsi="Century Gothic"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291B297C"/>
    <w:multiLevelType w:val="hybridMultilevel"/>
    <w:tmpl w:val="4646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CD1DE8"/>
    <w:multiLevelType w:val="multilevel"/>
    <w:tmpl w:val="1C14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DF1455"/>
    <w:multiLevelType w:val="hybridMultilevel"/>
    <w:tmpl w:val="5420ABD8"/>
    <w:lvl w:ilvl="0" w:tplc="6D3E4B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686811"/>
    <w:multiLevelType w:val="hybridMultilevel"/>
    <w:tmpl w:val="AF142A26"/>
    <w:lvl w:ilvl="0" w:tplc="6D3E4B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81819"/>
    <w:multiLevelType w:val="hybridMultilevel"/>
    <w:tmpl w:val="5C3E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E71931"/>
    <w:multiLevelType w:val="hybridMultilevel"/>
    <w:tmpl w:val="ADAAC51A"/>
    <w:lvl w:ilvl="0" w:tplc="4C248BC0">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5F13D4"/>
    <w:multiLevelType w:val="hybridMultilevel"/>
    <w:tmpl w:val="CE8C4908"/>
    <w:lvl w:ilvl="0" w:tplc="6D3E4B10">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5992FB2"/>
    <w:multiLevelType w:val="multilevel"/>
    <w:tmpl w:val="EF04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6624C7"/>
    <w:multiLevelType w:val="multilevel"/>
    <w:tmpl w:val="2A18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50219A"/>
    <w:multiLevelType w:val="hybridMultilevel"/>
    <w:tmpl w:val="B62C29AC"/>
    <w:lvl w:ilvl="0" w:tplc="1F30F378">
      <w:start w:val="48"/>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997C18"/>
    <w:multiLevelType w:val="hybridMultilevel"/>
    <w:tmpl w:val="05806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937AA0"/>
    <w:multiLevelType w:val="hybridMultilevel"/>
    <w:tmpl w:val="492EF0A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C221C2"/>
    <w:multiLevelType w:val="hybridMultilevel"/>
    <w:tmpl w:val="7090E67C"/>
    <w:lvl w:ilvl="0" w:tplc="1F30F378">
      <w:start w:val="48"/>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812E5D"/>
    <w:multiLevelType w:val="hybridMultilevel"/>
    <w:tmpl w:val="B802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C02BCE"/>
    <w:multiLevelType w:val="hybridMultilevel"/>
    <w:tmpl w:val="8F60D1B8"/>
    <w:lvl w:ilvl="0" w:tplc="1F30F378">
      <w:start w:val="48"/>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CC1F4C"/>
    <w:multiLevelType w:val="hybridMultilevel"/>
    <w:tmpl w:val="A3765BF0"/>
    <w:lvl w:ilvl="0" w:tplc="1F30F378">
      <w:start w:val="48"/>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5"/>
  </w:num>
  <w:num w:numId="4">
    <w:abstractNumId w:val="2"/>
  </w:num>
  <w:num w:numId="5">
    <w:abstractNumId w:val="23"/>
  </w:num>
  <w:num w:numId="6">
    <w:abstractNumId w:val="13"/>
  </w:num>
  <w:num w:numId="7">
    <w:abstractNumId w:val="24"/>
  </w:num>
  <w:num w:numId="8">
    <w:abstractNumId w:val="17"/>
  </w:num>
  <w:num w:numId="9">
    <w:abstractNumId w:val="26"/>
  </w:num>
  <w:num w:numId="10">
    <w:abstractNumId w:val="12"/>
  </w:num>
  <w:num w:numId="11">
    <w:abstractNumId w:val="14"/>
  </w:num>
  <w:num w:numId="12">
    <w:abstractNumId w:val="1"/>
  </w:num>
  <w:num w:numId="13">
    <w:abstractNumId w:val="21"/>
  </w:num>
  <w:num w:numId="14">
    <w:abstractNumId w:val="4"/>
  </w:num>
  <w:num w:numId="15">
    <w:abstractNumId w:val="10"/>
  </w:num>
  <w:num w:numId="16">
    <w:abstractNumId w:val="0"/>
  </w:num>
  <w:num w:numId="17">
    <w:abstractNumId w:val="7"/>
  </w:num>
  <w:num w:numId="18">
    <w:abstractNumId w:val="20"/>
  </w:num>
  <w:num w:numId="19">
    <w:abstractNumId w:val="3"/>
  </w:num>
  <w:num w:numId="20">
    <w:abstractNumId w:val="18"/>
  </w:num>
  <w:num w:numId="21">
    <w:abstractNumId w:val="22"/>
  </w:num>
  <w:num w:numId="22">
    <w:abstractNumId w:val="8"/>
  </w:num>
  <w:num w:numId="23">
    <w:abstractNumId w:val="27"/>
  </w:num>
  <w:num w:numId="24">
    <w:abstractNumId w:val="9"/>
  </w:num>
  <w:num w:numId="25">
    <w:abstractNumId w:val="5"/>
  </w:num>
  <w:num w:numId="26">
    <w:abstractNumId w:val="28"/>
  </w:num>
  <w:num w:numId="27">
    <w:abstractNumId w:val="6"/>
  </w:num>
  <w:num w:numId="28">
    <w:abstractNumId w:val="25"/>
  </w:num>
  <w:num w:numId="29">
    <w:abstractNumId w:val="1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E8E"/>
    <w:rsid w:val="00004D59"/>
    <w:rsid w:val="00015E8E"/>
    <w:rsid w:val="000B61BB"/>
    <w:rsid w:val="000D140A"/>
    <w:rsid w:val="000D2D9B"/>
    <w:rsid w:val="000F60D5"/>
    <w:rsid w:val="001352F8"/>
    <w:rsid w:val="0013761D"/>
    <w:rsid w:val="001817A6"/>
    <w:rsid w:val="00231406"/>
    <w:rsid w:val="002379F1"/>
    <w:rsid w:val="00253FDF"/>
    <w:rsid w:val="00276BC4"/>
    <w:rsid w:val="002C7293"/>
    <w:rsid w:val="002F1FAE"/>
    <w:rsid w:val="002F3C16"/>
    <w:rsid w:val="00315F0C"/>
    <w:rsid w:val="00350763"/>
    <w:rsid w:val="003F3F15"/>
    <w:rsid w:val="00414CA0"/>
    <w:rsid w:val="00450848"/>
    <w:rsid w:val="00463A5B"/>
    <w:rsid w:val="00471597"/>
    <w:rsid w:val="004C68CF"/>
    <w:rsid w:val="004D6E74"/>
    <w:rsid w:val="005119BC"/>
    <w:rsid w:val="00544526"/>
    <w:rsid w:val="005457AF"/>
    <w:rsid w:val="005B7EF4"/>
    <w:rsid w:val="00602D68"/>
    <w:rsid w:val="00635945"/>
    <w:rsid w:val="00635A6C"/>
    <w:rsid w:val="00657DC7"/>
    <w:rsid w:val="006917DF"/>
    <w:rsid w:val="0069321C"/>
    <w:rsid w:val="00694D4D"/>
    <w:rsid w:val="006D2EDC"/>
    <w:rsid w:val="0070578B"/>
    <w:rsid w:val="0070743D"/>
    <w:rsid w:val="007334AA"/>
    <w:rsid w:val="00746306"/>
    <w:rsid w:val="00765B08"/>
    <w:rsid w:val="007A73E7"/>
    <w:rsid w:val="007E44B0"/>
    <w:rsid w:val="007F77BD"/>
    <w:rsid w:val="008C2D5B"/>
    <w:rsid w:val="00947204"/>
    <w:rsid w:val="0095598B"/>
    <w:rsid w:val="0098750C"/>
    <w:rsid w:val="00A032B7"/>
    <w:rsid w:val="00A05843"/>
    <w:rsid w:val="00A0698D"/>
    <w:rsid w:val="00A33F28"/>
    <w:rsid w:val="00A51D1B"/>
    <w:rsid w:val="00A8575C"/>
    <w:rsid w:val="00AA243A"/>
    <w:rsid w:val="00AA75BE"/>
    <w:rsid w:val="00AD33EA"/>
    <w:rsid w:val="00B07EF5"/>
    <w:rsid w:val="00B44003"/>
    <w:rsid w:val="00B76767"/>
    <w:rsid w:val="00B820DF"/>
    <w:rsid w:val="00BB1FAE"/>
    <w:rsid w:val="00BE1C87"/>
    <w:rsid w:val="00C13AA5"/>
    <w:rsid w:val="00C17AD3"/>
    <w:rsid w:val="00C21CAC"/>
    <w:rsid w:val="00C52A1F"/>
    <w:rsid w:val="00C64ED0"/>
    <w:rsid w:val="00CC1DD0"/>
    <w:rsid w:val="00CD50CE"/>
    <w:rsid w:val="00CE4135"/>
    <w:rsid w:val="00D03A8C"/>
    <w:rsid w:val="00D1426B"/>
    <w:rsid w:val="00D62B99"/>
    <w:rsid w:val="00D77103"/>
    <w:rsid w:val="00DA108D"/>
    <w:rsid w:val="00DA72EC"/>
    <w:rsid w:val="00E52324"/>
    <w:rsid w:val="00E65F73"/>
    <w:rsid w:val="00E93710"/>
    <w:rsid w:val="00ED5C3E"/>
    <w:rsid w:val="00EE3ABF"/>
    <w:rsid w:val="00F5136F"/>
    <w:rsid w:val="00FC4799"/>
    <w:rsid w:val="00FF0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38305F"/>
  <w15:docId w15:val="{38F3415B-6850-41D4-9F86-B991FDF3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E8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E8E"/>
    <w:pPr>
      <w:ind w:left="720"/>
    </w:pPr>
  </w:style>
  <w:style w:type="paragraph" w:styleId="NoSpacing">
    <w:name w:val="No Spacing"/>
    <w:uiPriority w:val="1"/>
    <w:qFormat/>
    <w:rsid w:val="00015E8E"/>
    <w:pPr>
      <w:spacing w:after="0" w:line="240" w:lineRule="auto"/>
    </w:pPr>
    <w:rPr>
      <w:rFonts w:ascii="Calibri" w:eastAsia="Calibri" w:hAnsi="Calibri" w:cs="Times New Roman"/>
    </w:rPr>
  </w:style>
  <w:style w:type="character" w:styleId="Hyperlink">
    <w:name w:val="Hyperlink"/>
    <w:rsid w:val="00015E8E"/>
    <w:rPr>
      <w:color w:val="0563C1"/>
      <w:u w:val="single"/>
    </w:rPr>
  </w:style>
  <w:style w:type="paragraph" w:customStyle="1" w:styleId="Default">
    <w:name w:val="Default"/>
    <w:rsid w:val="00CE413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379F1"/>
    <w:rPr>
      <w:sz w:val="16"/>
      <w:szCs w:val="16"/>
    </w:rPr>
  </w:style>
  <w:style w:type="paragraph" w:styleId="CommentText">
    <w:name w:val="annotation text"/>
    <w:basedOn w:val="Normal"/>
    <w:link w:val="CommentTextChar"/>
    <w:uiPriority w:val="99"/>
    <w:semiHidden/>
    <w:unhideWhenUsed/>
    <w:rsid w:val="002379F1"/>
    <w:rPr>
      <w:rFonts w:ascii="Calibri" w:eastAsiaTheme="minorHAnsi" w:hAnsi="Calibri"/>
      <w:sz w:val="20"/>
      <w:szCs w:val="20"/>
      <w:lang w:eastAsia="en-US"/>
    </w:rPr>
  </w:style>
  <w:style w:type="character" w:customStyle="1" w:styleId="CommentTextChar">
    <w:name w:val="Comment Text Char"/>
    <w:basedOn w:val="DefaultParagraphFont"/>
    <w:link w:val="CommentText"/>
    <w:uiPriority w:val="99"/>
    <w:semiHidden/>
    <w:rsid w:val="002379F1"/>
    <w:rPr>
      <w:rFonts w:ascii="Calibri" w:hAnsi="Calibri" w:cs="Times New Roman"/>
      <w:sz w:val="20"/>
      <w:szCs w:val="20"/>
    </w:rPr>
  </w:style>
  <w:style w:type="paragraph" w:styleId="BalloonText">
    <w:name w:val="Balloon Text"/>
    <w:basedOn w:val="Normal"/>
    <w:link w:val="BalloonTextChar"/>
    <w:uiPriority w:val="99"/>
    <w:semiHidden/>
    <w:unhideWhenUsed/>
    <w:rsid w:val="002379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9F1"/>
    <w:rPr>
      <w:rFonts w:ascii="Segoe UI" w:eastAsia="Times New Roman" w:hAnsi="Segoe UI" w:cs="Segoe UI"/>
      <w:sz w:val="18"/>
      <w:szCs w:val="18"/>
      <w:lang w:eastAsia="en-GB"/>
    </w:rPr>
  </w:style>
  <w:style w:type="paragraph" w:styleId="NormalWeb">
    <w:name w:val="Normal (Web)"/>
    <w:basedOn w:val="Normal"/>
    <w:uiPriority w:val="99"/>
    <w:semiHidden/>
    <w:unhideWhenUsed/>
    <w:rsid w:val="00EE3ABF"/>
    <w:pPr>
      <w:spacing w:before="100" w:beforeAutospacing="1" w:after="100" w:afterAutospacing="1"/>
    </w:pPr>
  </w:style>
  <w:style w:type="character" w:styleId="Strong">
    <w:name w:val="Strong"/>
    <w:basedOn w:val="DefaultParagraphFont"/>
    <w:uiPriority w:val="22"/>
    <w:qFormat/>
    <w:rsid w:val="00EE3ABF"/>
    <w:rPr>
      <w:b/>
      <w:bCs/>
    </w:rPr>
  </w:style>
  <w:style w:type="table" w:styleId="TableGrid">
    <w:name w:val="Table Grid"/>
    <w:basedOn w:val="TableNormal"/>
    <w:uiPriority w:val="39"/>
    <w:rsid w:val="00EE3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DefaultParagraphFont"/>
    <w:rsid w:val="00A032B7"/>
    <w:rPr>
      <w:shd w:val="clear" w:color="auto" w:fill="FFFF40"/>
    </w:rPr>
  </w:style>
  <w:style w:type="paragraph" w:styleId="CommentSubject">
    <w:name w:val="annotation subject"/>
    <w:basedOn w:val="CommentText"/>
    <w:next w:val="CommentText"/>
    <w:link w:val="CommentSubjectChar"/>
    <w:uiPriority w:val="99"/>
    <w:semiHidden/>
    <w:unhideWhenUsed/>
    <w:rsid w:val="00947204"/>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rsid w:val="00947204"/>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4C68CF"/>
    <w:pPr>
      <w:tabs>
        <w:tab w:val="center" w:pos="4513"/>
        <w:tab w:val="right" w:pos="9026"/>
      </w:tabs>
    </w:pPr>
  </w:style>
  <w:style w:type="character" w:customStyle="1" w:styleId="HeaderChar">
    <w:name w:val="Header Char"/>
    <w:basedOn w:val="DefaultParagraphFont"/>
    <w:link w:val="Header"/>
    <w:uiPriority w:val="99"/>
    <w:rsid w:val="004C68C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C68CF"/>
    <w:pPr>
      <w:tabs>
        <w:tab w:val="center" w:pos="4513"/>
        <w:tab w:val="right" w:pos="9026"/>
      </w:tabs>
    </w:pPr>
  </w:style>
  <w:style w:type="character" w:customStyle="1" w:styleId="FooterChar">
    <w:name w:val="Footer Char"/>
    <w:basedOn w:val="DefaultParagraphFont"/>
    <w:link w:val="Footer"/>
    <w:uiPriority w:val="99"/>
    <w:rsid w:val="004C68C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3824">
      <w:bodyDiv w:val="1"/>
      <w:marLeft w:val="0"/>
      <w:marRight w:val="0"/>
      <w:marTop w:val="0"/>
      <w:marBottom w:val="0"/>
      <w:divBdr>
        <w:top w:val="none" w:sz="0" w:space="0" w:color="auto"/>
        <w:left w:val="none" w:sz="0" w:space="0" w:color="auto"/>
        <w:bottom w:val="none" w:sz="0" w:space="0" w:color="auto"/>
        <w:right w:val="none" w:sz="0" w:space="0" w:color="auto"/>
      </w:divBdr>
    </w:div>
    <w:div w:id="418984615">
      <w:bodyDiv w:val="1"/>
      <w:marLeft w:val="0"/>
      <w:marRight w:val="0"/>
      <w:marTop w:val="0"/>
      <w:marBottom w:val="0"/>
      <w:divBdr>
        <w:top w:val="none" w:sz="0" w:space="0" w:color="auto"/>
        <w:left w:val="none" w:sz="0" w:space="0" w:color="auto"/>
        <w:bottom w:val="none" w:sz="0" w:space="0" w:color="auto"/>
        <w:right w:val="none" w:sz="0" w:space="0" w:color="auto"/>
      </w:divBdr>
    </w:div>
    <w:div w:id="669069273">
      <w:bodyDiv w:val="1"/>
      <w:marLeft w:val="0"/>
      <w:marRight w:val="0"/>
      <w:marTop w:val="0"/>
      <w:marBottom w:val="0"/>
      <w:divBdr>
        <w:top w:val="none" w:sz="0" w:space="0" w:color="auto"/>
        <w:left w:val="none" w:sz="0" w:space="0" w:color="auto"/>
        <w:bottom w:val="none" w:sz="0" w:space="0" w:color="auto"/>
        <w:right w:val="none" w:sz="0" w:space="0" w:color="auto"/>
      </w:divBdr>
      <w:divsChild>
        <w:div w:id="1821192840">
          <w:marLeft w:val="0"/>
          <w:marRight w:val="0"/>
          <w:marTop w:val="0"/>
          <w:marBottom w:val="0"/>
          <w:divBdr>
            <w:top w:val="none" w:sz="0" w:space="0" w:color="auto"/>
            <w:left w:val="none" w:sz="0" w:space="0" w:color="auto"/>
            <w:bottom w:val="none" w:sz="0" w:space="0" w:color="auto"/>
            <w:right w:val="none" w:sz="0" w:space="0" w:color="auto"/>
          </w:divBdr>
          <w:divsChild>
            <w:div w:id="864444455">
              <w:marLeft w:val="0"/>
              <w:marRight w:val="0"/>
              <w:marTop w:val="0"/>
              <w:marBottom w:val="0"/>
              <w:divBdr>
                <w:top w:val="none" w:sz="0" w:space="0" w:color="auto"/>
                <w:left w:val="none" w:sz="0" w:space="0" w:color="auto"/>
                <w:bottom w:val="none" w:sz="0" w:space="0" w:color="auto"/>
                <w:right w:val="none" w:sz="0" w:space="0" w:color="auto"/>
              </w:divBdr>
              <w:divsChild>
                <w:div w:id="945775501">
                  <w:marLeft w:val="0"/>
                  <w:marRight w:val="0"/>
                  <w:marTop w:val="0"/>
                  <w:marBottom w:val="0"/>
                  <w:divBdr>
                    <w:top w:val="none" w:sz="0" w:space="0" w:color="auto"/>
                    <w:left w:val="none" w:sz="0" w:space="0" w:color="auto"/>
                    <w:bottom w:val="none" w:sz="0" w:space="0" w:color="auto"/>
                    <w:right w:val="none" w:sz="0" w:space="0" w:color="auto"/>
                  </w:divBdr>
                  <w:divsChild>
                    <w:div w:id="2743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5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child-death-review-statutory-and-operational-guidance-englan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051D6-CC61-44BC-A70A-73C90541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1545</Words>
  <Characters>8810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Staffordshire Police</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Lindley-Cooke</dc:creator>
  <cp:lastModifiedBy>Russell, Jude (F&amp;C)</cp:lastModifiedBy>
  <cp:revision>2</cp:revision>
  <dcterms:created xsi:type="dcterms:W3CDTF">2020-09-24T07:25:00Z</dcterms:created>
  <dcterms:modified xsi:type="dcterms:W3CDTF">2020-09-24T07:25:00Z</dcterms:modified>
</cp:coreProperties>
</file>